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D86" w:rsidRPr="009F43CB" w:rsidRDefault="00DE5D86" w:rsidP="009F43CB">
      <w:pPr>
        <w:widowControl/>
        <w:spacing w:line="450" w:lineRule="atLeast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36"/>
          <w:szCs w:val="36"/>
        </w:rPr>
      </w:pP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>成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>交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>公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9F43CB">
        <w:rPr>
          <w:rFonts w:ascii="Arial" w:eastAsia="宋体" w:hAnsi="Arial" w:cs="Arial" w:hint="eastAsia"/>
          <w:b/>
          <w:bCs/>
          <w:color w:val="000000" w:themeColor="text1"/>
          <w:kern w:val="0"/>
          <w:sz w:val="36"/>
          <w:szCs w:val="36"/>
        </w:rPr>
        <w:t>告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由上海立信会计金融学院组织的</w:t>
      </w:r>
      <w:r w:rsidR="00F45A4E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“不忘初心、牢记使命”主题教育成果展示服务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（项目编号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:</w:t>
      </w:r>
      <w:r w:rsidRPr="009F43CB">
        <w:rPr>
          <w:color w:val="000000" w:themeColor="text1"/>
        </w:rPr>
        <w:t xml:space="preserve"> </w:t>
      </w:r>
      <w:r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LXJR2019-D0</w:t>
      </w:r>
      <w:r w:rsidR="00F45A4E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68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）的</w:t>
      </w:r>
      <w:r w:rsidR="00F45A4E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单一来源采购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方式的采购，于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2019-</w:t>
      </w:r>
      <w:r w:rsidR="009F43CB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12</w:t>
      </w:r>
      <w:r w:rsidR="00585C30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-</w:t>
      </w:r>
      <w:r w:rsidR="009F43CB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13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在</w:t>
      </w:r>
      <w:r w:rsidR="00FC5540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上海立信会计金融学院浦东校区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行政楼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6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楼</w:t>
      </w:r>
      <w:r w:rsidR="00FC5540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会议室</w:t>
      </w:r>
      <w:r w:rsidR="00FC5540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谈判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。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经评审委员会评审，并经采购人确认，本次成交结果公布如下：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一、成交日期：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2019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年</w:t>
      </w:r>
      <w:r w:rsidR="009F43CB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12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月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1</w:t>
      </w:r>
      <w:r w:rsidR="009F43CB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3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日</w:t>
      </w:r>
    </w:p>
    <w:p w:rsidR="00DE5D86" w:rsidRPr="009F43CB" w:rsidRDefault="00DE5D86" w:rsidP="009F43CB">
      <w:pPr>
        <w:spacing w:line="300" w:lineRule="auto"/>
        <w:ind w:firstLineChars="202" w:firstLine="606"/>
        <w:rPr>
          <w:rFonts w:hint="eastAsia"/>
          <w:color w:val="000000" w:themeColor="text1"/>
          <w:sz w:val="28"/>
          <w:szCs w:val="2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二、成交信息：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“不忘初心、牢记使命”主</w:t>
      </w:r>
      <w:bookmarkStart w:id="0" w:name="_GoBack"/>
      <w:bookmarkEnd w:id="0"/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题教育成果展示服务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的成交供应商：</w:t>
      </w:r>
      <w:r w:rsidR="009F43CB" w:rsidRPr="009F43CB">
        <w:rPr>
          <w:rFonts w:hint="eastAsia"/>
          <w:color w:val="000000" w:themeColor="text1"/>
          <w:sz w:val="28"/>
          <w:szCs w:val="28"/>
        </w:rPr>
        <w:t>上海</w:t>
      </w:r>
      <w:proofErr w:type="gramStart"/>
      <w:r w:rsidR="009F43CB" w:rsidRPr="009F43CB">
        <w:rPr>
          <w:rFonts w:hint="eastAsia"/>
          <w:color w:val="000000" w:themeColor="text1"/>
          <w:sz w:val="28"/>
          <w:szCs w:val="28"/>
        </w:rPr>
        <w:t>昃迈文化</w:t>
      </w:r>
      <w:proofErr w:type="gramEnd"/>
      <w:r w:rsidR="009F43CB" w:rsidRPr="009F43CB">
        <w:rPr>
          <w:rFonts w:hint="eastAsia"/>
          <w:color w:val="000000" w:themeColor="text1"/>
          <w:sz w:val="28"/>
          <w:szCs w:val="28"/>
        </w:rPr>
        <w:t>传媒中心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，成交供应商地址：</w:t>
      </w:r>
      <w:r w:rsidR="009F43CB" w:rsidRPr="009F43CB">
        <w:rPr>
          <w:rFonts w:hint="eastAsia"/>
          <w:color w:val="000000" w:themeColor="text1"/>
          <w:sz w:val="28"/>
          <w:szCs w:val="28"/>
        </w:rPr>
        <w:t>上海市金高路1296弄66号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，成交金额：</w:t>
      </w:r>
      <w:r w:rsidR="009F43CB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t>74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000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元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三、主要成交</w:t>
      </w:r>
      <w:r w:rsidR="00CE3C65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项目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名称</w:t>
      </w:r>
      <w:r w:rsidR="00FC5540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：</w:t>
      </w:r>
      <w:r w:rsidR="009F43CB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“不忘初心、牢记使命”主题教育成果展示服务</w:t>
      </w:r>
      <w:r w:rsidR="007E452D" w:rsidRPr="009F43CB">
        <w:rPr>
          <w:rFonts w:ascii="Arial" w:eastAsia="宋体" w:hAnsi="Arial" w:cs="Arial"/>
          <w:color w:val="000000" w:themeColor="text1"/>
          <w:kern w:val="0"/>
          <w:sz w:val="30"/>
          <w:szCs w:val="30"/>
        </w:rPr>
        <w:cr/>
        <w:t xml:space="preserve">    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四、</w:t>
      </w:r>
      <w:r w:rsidR="00CE3C65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谈判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委员会成员：</w:t>
      </w:r>
    </w:p>
    <w:p w:rsidR="009F43CB" w:rsidRPr="009F43CB" w:rsidRDefault="009F43CB" w:rsidP="00DE5D86">
      <w:pPr>
        <w:widowControl/>
        <w:spacing w:line="450" w:lineRule="atLeast"/>
        <w:ind w:firstLineChars="200" w:firstLine="600"/>
        <w:jc w:val="left"/>
        <w:rPr>
          <w:rFonts w:ascii="Arial" w:eastAsia="宋体" w:hAnsi="Arial" w:cs="Arial"/>
          <w:color w:val="000000" w:themeColor="text1"/>
          <w:kern w:val="0"/>
          <w:sz w:val="30"/>
          <w:szCs w:val="30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张建利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、张飞、陈艳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如对</w:t>
      </w:r>
      <w:r w:rsidR="00CE3C65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谈判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结果有异议，请于</w:t>
      </w:r>
      <w:proofErr w:type="gramStart"/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本</w:t>
      </w:r>
      <w:r w:rsidR="00CE3C65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成交</w:t>
      </w:r>
      <w:proofErr w:type="gramEnd"/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结果公布之日起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7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个工作日内以书面形式向</w:t>
      </w:r>
      <w:r w:rsidR="00CE3C65"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上海立信会计金融学院招投标办公室</w:t>
      </w: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提出质疑。</w:t>
      </w:r>
    </w:p>
    <w:p w:rsidR="00DE5D86" w:rsidRPr="009F43CB" w:rsidRDefault="00DE5D86" w:rsidP="00DE5D86">
      <w:pPr>
        <w:widowControl/>
        <w:spacing w:line="450" w:lineRule="atLeast"/>
        <w:ind w:firstLineChars="200" w:firstLine="600"/>
        <w:jc w:val="left"/>
        <w:rPr>
          <w:rFonts w:ascii="Arial" w:eastAsia="宋体" w:hAnsi="Arial" w:cs="Arial"/>
          <w:color w:val="000000" w:themeColor="text1"/>
          <w:kern w:val="0"/>
          <w:sz w:val="30"/>
          <w:szCs w:val="30"/>
        </w:rPr>
      </w:pPr>
      <w:r w:rsidRPr="009F43CB">
        <w:rPr>
          <w:rFonts w:ascii="Arial" w:eastAsia="宋体" w:hAnsi="Arial" w:cs="Arial" w:hint="eastAsia"/>
          <w:color w:val="000000" w:themeColor="text1"/>
          <w:kern w:val="0"/>
          <w:sz w:val="30"/>
          <w:szCs w:val="30"/>
        </w:rPr>
        <w:t>感谢供应商单位对本次采购活动的积极参与！</w:t>
      </w:r>
    </w:p>
    <w:p w:rsidR="00CE3C65" w:rsidRPr="009F43CB" w:rsidRDefault="00CE3C65" w:rsidP="00DE5D86">
      <w:pPr>
        <w:widowControl/>
        <w:spacing w:line="450" w:lineRule="atLeast"/>
        <w:ind w:firstLineChars="200" w:firstLine="360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</w:p>
    <w:tbl>
      <w:tblPr>
        <w:tblW w:w="6815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7902"/>
        <w:gridCol w:w="4322"/>
      </w:tblGrid>
      <w:tr w:rsidR="009F43CB" w:rsidRPr="009F43CB" w:rsidTr="00D04613">
        <w:trPr>
          <w:tblCellSpacing w:w="7" w:type="dxa"/>
        </w:trPr>
        <w:tc>
          <w:tcPr>
            <w:tcW w:w="49" w:type="pct"/>
            <w:vAlign w:val="center"/>
            <w:hideMark/>
          </w:tcPr>
          <w:p w:rsidR="00CE3C65" w:rsidRPr="009F43CB" w:rsidRDefault="00DE5D86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ˎ̥" w:eastAsia="宋体" w:hAnsi="ˎ̥" w:cs="宋体"/>
                <w:color w:val="000000" w:themeColor="text1"/>
                <w:kern w:val="0"/>
                <w:sz w:val="18"/>
                <w:szCs w:val="18"/>
              </w:rPr>
              <w:t> </w:t>
            </w:r>
            <w:r w:rsidR="00CE3C65" w:rsidRPr="009F43CB">
              <w:rPr>
                <w:rFonts w:ascii="ˎ̥" w:eastAsia="宋体" w:hAnsi="ˎ̥" w:cs="宋体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3204" w:type="pct"/>
            <w:vAlign w:val="center"/>
            <w:hideMark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采购人：上海立信会计金融学院</w:t>
            </w: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ind w:firstLineChars="100" w:firstLine="180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F43CB" w:rsidRPr="009F43CB" w:rsidTr="00D04613">
        <w:trPr>
          <w:tblCellSpacing w:w="7" w:type="dxa"/>
        </w:trPr>
        <w:tc>
          <w:tcPr>
            <w:tcW w:w="49" w:type="pct"/>
            <w:vAlign w:val="center"/>
            <w:hideMark/>
          </w:tcPr>
          <w:p w:rsidR="00CE3C65" w:rsidRPr="009F43CB" w:rsidRDefault="00CE3C65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ˎ̥" w:eastAsia="宋体" w:hAnsi="ˎ̥" w:cs="宋体"/>
                <w:color w:val="000000" w:themeColor="text1"/>
                <w:kern w:val="0"/>
                <w:sz w:val="18"/>
                <w:szCs w:val="18"/>
              </w:rPr>
              <w:t> </w:t>
            </w:r>
          </w:p>
        </w:tc>
        <w:tc>
          <w:tcPr>
            <w:tcW w:w="3204" w:type="pct"/>
            <w:vAlign w:val="center"/>
            <w:hideMark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地址：</w:t>
            </w:r>
            <w:r w:rsidR="00D04613"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徐汇区中山西路2</w:t>
            </w:r>
            <w:r w:rsidR="00D04613" w:rsidRPr="009F43CB"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  <w:t>230</w:t>
            </w:r>
            <w:r w:rsidR="00D04613"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号1号楼1</w:t>
            </w:r>
            <w:r w:rsidR="00D04613" w:rsidRPr="009F43CB"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  <w:t>111</w:t>
            </w:r>
            <w:r w:rsidR="00D04613"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室</w:t>
            </w: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ind w:firstLineChars="100" w:firstLine="180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F43CB" w:rsidRPr="009F43CB" w:rsidTr="00D04613">
        <w:trPr>
          <w:tblCellSpacing w:w="7" w:type="dxa"/>
        </w:trPr>
        <w:tc>
          <w:tcPr>
            <w:tcW w:w="49" w:type="pct"/>
            <w:vAlign w:val="center"/>
          </w:tcPr>
          <w:p w:rsidR="00CE3C65" w:rsidRPr="009F43CB" w:rsidRDefault="00CE3C65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04" w:type="pct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联系人：曹洁漪</w:t>
            </w: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F43CB" w:rsidRPr="009F43CB" w:rsidTr="00D04613">
        <w:trPr>
          <w:tblCellSpacing w:w="7" w:type="dxa"/>
        </w:trPr>
        <w:tc>
          <w:tcPr>
            <w:tcW w:w="49" w:type="pct"/>
            <w:vAlign w:val="center"/>
          </w:tcPr>
          <w:p w:rsidR="00CE3C65" w:rsidRPr="009F43CB" w:rsidRDefault="00CE3C65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04" w:type="pct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9F43CB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电话：</w:t>
            </w:r>
            <w:r w:rsidRPr="009F43CB"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  <w:t>021-64682023</w:t>
            </w: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F43CB" w:rsidRPr="009F43CB" w:rsidTr="00D04613">
        <w:trPr>
          <w:tblCellSpacing w:w="7" w:type="dxa"/>
        </w:trPr>
        <w:tc>
          <w:tcPr>
            <w:tcW w:w="49" w:type="pct"/>
            <w:vAlign w:val="center"/>
          </w:tcPr>
          <w:p w:rsidR="00CE3C65" w:rsidRPr="009F43CB" w:rsidRDefault="00CE3C65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04" w:type="pct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E3C65" w:rsidRPr="009F43CB" w:rsidTr="00D04613">
        <w:trPr>
          <w:tblCellSpacing w:w="7" w:type="dxa"/>
        </w:trPr>
        <w:tc>
          <w:tcPr>
            <w:tcW w:w="49" w:type="pct"/>
            <w:vAlign w:val="center"/>
          </w:tcPr>
          <w:p w:rsidR="00CE3C65" w:rsidRPr="009F43CB" w:rsidRDefault="00CE3C65" w:rsidP="00CE3C65">
            <w:pPr>
              <w:widowControl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04" w:type="pct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E3C65" w:rsidRPr="009F43CB" w:rsidRDefault="00CE3C65" w:rsidP="00CE3C65">
            <w:pPr>
              <w:widowControl/>
              <w:spacing w:before="100" w:beforeAutospacing="1" w:after="100" w:afterAutospacing="1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3B089F" w:rsidRPr="009F43CB" w:rsidRDefault="003B089F">
      <w:pPr>
        <w:rPr>
          <w:color w:val="000000" w:themeColor="text1"/>
        </w:rPr>
      </w:pPr>
    </w:p>
    <w:sectPr w:rsidR="003B089F" w:rsidRPr="009F43CB" w:rsidSect="00CE3C65">
      <w:pgSz w:w="11906" w:h="16838"/>
      <w:pgMar w:top="1135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D19" w:rsidRDefault="00866D19" w:rsidP="00D04613">
      <w:r>
        <w:separator/>
      </w:r>
    </w:p>
  </w:endnote>
  <w:endnote w:type="continuationSeparator" w:id="0">
    <w:p w:rsidR="00866D19" w:rsidRDefault="00866D19" w:rsidP="00D0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D19" w:rsidRDefault="00866D19" w:rsidP="00D04613">
      <w:r>
        <w:separator/>
      </w:r>
    </w:p>
  </w:footnote>
  <w:footnote w:type="continuationSeparator" w:id="0">
    <w:p w:rsidR="00866D19" w:rsidRDefault="00866D19" w:rsidP="00D0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86"/>
    <w:rsid w:val="0002181F"/>
    <w:rsid w:val="003B089F"/>
    <w:rsid w:val="00585C30"/>
    <w:rsid w:val="007E452D"/>
    <w:rsid w:val="00866D19"/>
    <w:rsid w:val="009F43CB"/>
    <w:rsid w:val="00A6116B"/>
    <w:rsid w:val="00AE33F6"/>
    <w:rsid w:val="00CE3C65"/>
    <w:rsid w:val="00D04613"/>
    <w:rsid w:val="00DE5D86"/>
    <w:rsid w:val="00F45A4E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CECDA"/>
  <w15:chartTrackingRefBased/>
  <w15:docId w15:val="{50A04C65-CBE6-41B7-AE8A-AE26993A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46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4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4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242</Characters>
  <Application>Microsoft Office Word</Application>
  <DocSecurity>0</DocSecurity>
  <Lines>60</Lines>
  <Paragraphs>67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CJY</dc:creator>
  <cp:keywords/>
  <dc:description/>
  <cp:lastModifiedBy>CJY</cp:lastModifiedBy>
  <cp:revision>2</cp:revision>
  <dcterms:created xsi:type="dcterms:W3CDTF">2019-12-16T08:53:00Z</dcterms:created>
  <dcterms:modified xsi:type="dcterms:W3CDTF">2019-12-16T08:53:00Z</dcterms:modified>
</cp:coreProperties>
</file>