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2F2F2" w:themeColor="background1" w:themeShade="F2"/>
  <w:body>
    <w:p w14:paraId="2CE119EB">
      <w:pPr>
        <w:ind w:firstLine="161" w:firstLineChars="50"/>
        <w:jc w:val="center"/>
        <w:rPr>
          <w:rFonts w:ascii="楷体" w:hAnsi="楷体" w:eastAsia="楷体"/>
          <w:b/>
          <w:bCs/>
          <w:color w:val="000000"/>
          <w:sz w:val="32"/>
          <w:szCs w:val="32"/>
        </w:rPr>
      </w:pPr>
    </w:p>
    <w:p w14:paraId="727B5B76">
      <w:pPr>
        <w:ind w:firstLine="161" w:firstLineChars="50"/>
        <w:jc w:val="center"/>
        <w:rPr>
          <w:rFonts w:ascii="楷体" w:hAnsi="楷体" w:eastAsia="楷体"/>
          <w:b/>
          <w:bCs/>
          <w:color w:val="000000"/>
          <w:sz w:val="32"/>
          <w:szCs w:val="32"/>
        </w:rPr>
      </w:pPr>
    </w:p>
    <w:p w14:paraId="52F208DA">
      <w:pPr>
        <w:ind w:firstLine="161" w:firstLineChars="50"/>
        <w:jc w:val="center"/>
        <w:rPr>
          <w:rFonts w:ascii="楷体" w:hAnsi="楷体" w:eastAsia="楷体"/>
          <w:b/>
          <w:bCs/>
          <w:color w:val="000000"/>
          <w:sz w:val="32"/>
          <w:szCs w:val="32"/>
        </w:rPr>
      </w:pPr>
    </w:p>
    <w:tbl>
      <w:tblPr>
        <w:tblStyle w:val="7"/>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660"/>
        <w:gridCol w:w="7039"/>
      </w:tblGrid>
      <w:tr w14:paraId="75AF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9699" w:type="dxa"/>
            <w:gridSpan w:val="2"/>
            <w:tcBorders>
              <w:top w:val="nil"/>
              <w:left w:val="nil"/>
              <w:bottom w:val="nil"/>
              <w:right w:val="nil"/>
            </w:tcBorders>
            <w:vAlign w:val="center"/>
          </w:tcPr>
          <w:p w14:paraId="0E70B7CA">
            <w:pPr>
              <w:pStyle w:val="3"/>
              <w:jc w:val="center"/>
              <w:rPr>
                <w:rFonts w:ascii="黑体" w:eastAsia="黑体"/>
                <w:b/>
                <w:color w:val="000000"/>
                <w:sz w:val="52"/>
              </w:rPr>
            </w:pPr>
            <w:r>
              <w:rPr>
                <w:rFonts w:hint="eastAsia" w:ascii="黑体" w:eastAsia="黑体"/>
                <w:b/>
                <w:color w:val="000000"/>
                <w:sz w:val="48"/>
                <w:szCs w:val="48"/>
              </w:rPr>
              <w:t>修缮工程施工</w:t>
            </w:r>
            <w:r>
              <w:rPr>
                <w:rFonts w:hint="eastAsia" w:ascii="黑体" w:eastAsia="黑体"/>
                <w:b/>
                <w:color w:val="000000"/>
                <w:spacing w:val="24"/>
                <w:sz w:val="48"/>
                <w:szCs w:val="48"/>
              </w:rPr>
              <w:t>合同</w:t>
            </w:r>
          </w:p>
        </w:tc>
      </w:tr>
      <w:tr w14:paraId="1B02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20" w:hRule="atLeast"/>
          <w:jc w:val="center"/>
        </w:trPr>
        <w:tc>
          <w:tcPr>
            <w:tcW w:w="9699" w:type="dxa"/>
            <w:gridSpan w:val="2"/>
            <w:tcBorders>
              <w:top w:val="nil"/>
              <w:left w:val="nil"/>
              <w:bottom w:val="nil"/>
              <w:right w:val="nil"/>
            </w:tcBorders>
            <w:vAlign w:val="center"/>
          </w:tcPr>
          <w:p w14:paraId="2C980D6B">
            <w:pPr>
              <w:pStyle w:val="3"/>
              <w:rPr>
                <w:color w:val="000000"/>
              </w:rPr>
            </w:pPr>
          </w:p>
          <w:p w14:paraId="040A02C6">
            <w:pPr>
              <w:pStyle w:val="3"/>
              <w:rPr>
                <w:color w:val="000000"/>
              </w:rPr>
            </w:pPr>
          </w:p>
          <w:p w14:paraId="21234CD4">
            <w:pPr>
              <w:pStyle w:val="3"/>
              <w:jc w:val="center"/>
              <w:rPr>
                <w:color w:val="000000"/>
              </w:rPr>
            </w:pPr>
          </w:p>
          <w:p w14:paraId="2E9EEE1A">
            <w:pPr>
              <w:pStyle w:val="3"/>
              <w:rPr>
                <w:color w:val="000000"/>
              </w:rPr>
            </w:pPr>
          </w:p>
        </w:tc>
      </w:tr>
      <w:tr w14:paraId="694A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0" w:hRule="atLeast"/>
          <w:jc w:val="center"/>
        </w:trPr>
        <w:tc>
          <w:tcPr>
            <w:tcW w:w="2660" w:type="dxa"/>
            <w:tcBorders>
              <w:top w:val="nil"/>
              <w:left w:val="nil"/>
              <w:bottom w:val="nil"/>
              <w:right w:val="nil"/>
            </w:tcBorders>
            <w:vAlign w:val="bottom"/>
          </w:tcPr>
          <w:p w14:paraId="11706999">
            <w:pPr>
              <w:pStyle w:val="3"/>
              <w:jc w:val="distribute"/>
              <w:rPr>
                <w:rFonts w:ascii="Times New Roman" w:hAnsi="Times New Roman" w:eastAsia="黑体"/>
                <w:b/>
                <w:color w:val="000000"/>
                <w:sz w:val="30"/>
              </w:rPr>
            </w:pPr>
            <w:r>
              <w:rPr>
                <w:rFonts w:hint="eastAsia" w:ascii="Times New Roman" w:hAnsi="Times New Roman" w:eastAsia="黑体"/>
                <w:b/>
                <w:color w:val="000000"/>
                <w:sz w:val="30"/>
              </w:rPr>
              <w:t>项目名称：</w:t>
            </w:r>
          </w:p>
        </w:tc>
        <w:tc>
          <w:tcPr>
            <w:tcW w:w="7039" w:type="dxa"/>
            <w:tcBorders>
              <w:top w:val="nil"/>
              <w:left w:val="nil"/>
              <w:bottom w:val="single" w:color="auto" w:sz="4" w:space="0"/>
              <w:right w:val="nil"/>
            </w:tcBorders>
            <w:vAlign w:val="bottom"/>
          </w:tcPr>
          <w:p w14:paraId="3D77E780">
            <w:pPr>
              <w:rPr>
                <w:rFonts w:ascii="宋体" w:hAnsi="Courier New"/>
                <w:b/>
                <w:color w:val="000000"/>
                <w:sz w:val="28"/>
                <w:szCs w:val="28"/>
              </w:rPr>
            </w:pPr>
            <w:r>
              <w:rPr>
                <w:rFonts w:hint="eastAsia" w:ascii="黑体" w:eastAsia="黑体"/>
                <w:b/>
                <w:color w:val="000000"/>
                <w:sz w:val="28"/>
                <w:szCs w:val="28"/>
              </w:rPr>
              <w:t>上川路校区*</w:t>
            </w:r>
            <w:r>
              <w:rPr>
                <w:rFonts w:ascii="黑体" w:eastAsia="黑体"/>
                <w:b/>
                <w:color w:val="000000"/>
                <w:sz w:val="28"/>
                <w:szCs w:val="28"/>
              </w:rPr>
              <w:t>********</w:t>
            </w:r>
            <w:r>
              <w:rPr>
                <w:rFonts w:hint="eastAsia" w:ascii="黑体" w:eastAsia="黑体"/>
                <w:b/>
                <w:color w:val="000000"/>
                <w:sz w:val="28"/>
                <w:szCs w:val="28"/>
              </w:rPr>
              <w:t>工程</w:t>
            </w:r>
          </w:p>
        </w:tc>
      </w:tr>
      <w:tr w14:paraId="0505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0" w:hRule="atLeast"/>
          <w:jc w:val="center"/>
        </w:trPr>
        <w:tc>
          <w:tcPr>
            <w:tcW w:w="2660" w:type="dxa"/>
            <w:tcBorders>
              <w:top w:val="nil"/>
              <w:left w:val="nil"/>
              <w:bottom w:val="nil"/>
              <w:right w:val="nil"/>
            </w:tcBorders>
            <w:vAlign w:val="bottom"/>
          </w:tcPr>
          <w:p w14:paraId="46BB341B">
            <w:pPr>
              <w:pStyle w:val="3"/>
              <w:jc w:val="distribute"/>
              <w:rPr>
                <w:rFonts w:ascii="Times New Roman" w:hAnsi="Times New Roman" w:eastAsia="黑体"/>
                <w:b/>
                <w:color w:val="000000"/>
                <w:sz w:val="30"/>
              </w:rPr>
            </w:pPr>
          </w:p>
          <w:p w14:paraId="544569AD">
            <w:pPr>
              <w:pStyle w:val="3"/>
              <w:jc w:val="distribute"/>
              <w:rPr>
                <w:rFonts w:ascii="Times New Roman" w:hAnsi="Times New Roman" w:eastAsia="黑体"/>
                <w:b/>
                <w:color w:val="000000"/>
                <w:sz w:val="30"/>
              </w:rPr>
            </w:pPr>
          </w:p>
          <w:p w14:paraId="0E183305">
            <w:pPr>
              <w:pStyle w:val="3"/>
              <w:jc w:val="distribute"/>
              <w:rPr>
                <w:rFonts w:ascii="Times New Roman" w:hAnsi="Times New Roman" w:eastAsia="黑体"/>
                <w:b/>
                <w:color w:val="000000"/>
                <w:sz w:val="30"/>
              </w:rPr>
            </w:pPr>
            <w:r>
              <w:rPr>
                <w:rFonts w:hint="eastAsia" w:ascii="Times New Roman" w:hAnsi="Times New Roman" w:eastAsia="黑体"/>
                <w:b/>
                <w:color w:val="000000"/>
                <w:sz w:val="30"/>
              </w:rPr>
              <w:t>发包方（甲方）：</w:t>
            </w:r>
          </w:p>
        </w:tc>
        <w:tc>
          <w:tcPr>
            <w:tcW w:w="7039" w:type="dxa"/>
            <w:tcBorders>
              <w:top w:val="nil"/>
              <w:left w:val="nil"/>
              <w:bottom w:val="single" w:color="auto" w:sz="4" w:space="0"/>
              <w:right w:val="nil"/>
            </w:tcBorders>
            <w:vAlign w:val="bottom"/>
          </w:tcPr>
          <w:p w14:paraId="727F6156">
            <w:pPr>
              <w:rPr>
                <w:rFonts w:hAnsi="宋体"/>
                <w:b/>
                <w:color w:val="000000"/>
                <w:sz w:val="30"/>
              </w:rPr>
            </w:pPr>
            <w:r>
              <w:rPr>
                <w:rFonts w:hint="eastAsia" w:ascii="宋体" w:hAnsi="Courier New"/>
                <w:b/>
                <w:color w:val="000000"/>
                <w:sz w:val="28"/>
                <w:szCs w:val="21"/>
              </w:rPr>
              <w:t>上海立信会计金融学院</w:t>
            </w:r>
          </w:p>
        </w:tc>
      </w:tr>
      <w:tr w14:paraId="6FD5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660" w:type="dxa"/>
            <w:tcBorders>
              <w:top w:val="nil"/>
              <w:left w:val="nil"/>
              <w:bottom w:val="nil"/>
              <w:right w:val="nil"/>
            </w:tcBorders>
            <w:vAlign w:val="bottom"/>
          </w:tcPr>
          <w:p w14:paraId="4C4825F3">
            <w:pPr>
              <w:pStyle w:val="3"/>
              <w:jc w:val="distribute"/>
              <w:rPr>
                <w:rFonts w:ascii="Times New Roman" w:hAnsi="Times New Roman" w:eastAsia="黑体"/>
                <w:b/>
                <w:color w:val="000000"/>
                <w:sz w:val="30"/>
              </w:rPr>
            </w:pPr>
          </w:p>
          <w:p w14:paraId="5D4F6735">
            <w:pPr>
              <w:pStyle w:val="3"/>
              <w:jc w:val="distribute"/>
              <w:rPr>
                <w:rFonts w:ascii="Times New Roman" w:hAnsi="Times New Roman" w:eastAsia="黑体"/>
                <w:b/>
                <w:color w:val="000000"/>
                <w:sz w:val="30"/>
              </w:rPr>
            </w:pPr>
          </w:p>
          <w:p w14:paraId="2FEBFC48">
            <w:pPr>
              <w:pStyle w:val="3"/>
              <w:jc w:val="distribute"/>
              <w:rPr>
                <w:rFonts w:ascii="Times New Roman" w:hAnsi="Times New Roman" w:eastAsia="黑体"/>
                <w:b/>
                <w:color w:val="000000"/>
                <w:sz w:val="30"/>
              </w:rPr>
            </w:pPr>
            <w:r>
              <w:rPr>
                <w:rFonts w:hint="eastAsia" w:ascii="Times New Roman" w:hAnsi="Times New Roman" w:eastAsia="黑体"/>
                <w:b/>
                <w:color w:val="000000"/>
                <w:sz w:val="30"/>
              </w:rPr>
              <w:t>承包方（乙方）：</w:t>
            </w:r>
          </w:p>
        </w:tc>
        <w:tc>
          <w:tcPr>
            <w:tcW w:w="7039" w:type="dxa"/>
            <w:tcBorders>
              <w:top w:val="single" w:color="auto" w:sz="4" w:space="0"/>
              <w:left w:val="nil"/>
              <w:bottom w:val="single" w:color="auto" w:sz="4" w:space="0"/>
              <w:right w:val="nil"/>
            </w:tcBorders>
            <w:vAlign w:val="bottom"/>
          </w:tcPr>
          <w:p w14:paraId="707324A8">
            <w:pPr>
              <w:rPr>
                <w:b/>
                <w:color w:val="000000"/>
                <w:sz w:val="28"/>
              </w:rPr>
            </w:pPr>
          </w:p>
        </w:tc>
      </w:tr>
      <w:tr w14:paraId="5518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660" w:type="dxa"/>
            <w:tcBorders>
              <w:top w:val="nil"/>
              <w:left w:val="nil"/>
              <w:bottom w:val="nil"/>
              <w:right w:val="nil"/>
            </w:tcBorders>
            <w:vAlign w:val="bottom"/>
          </w:tcPr>
          <w:p w14:paraId="091970BA">
            <w:pPr>
              <w:pStyle w:val="3"/>
              <w:jc w:val="center"/>
              <w:rPr>
                <w:rFonts w:ascii="Times New Roman" w:hAnsi="Times New Roman" w:eastAsia="黑体"/>
                <w:b/>
                <w:color w:val="000000"/>
                <w:sz w:val="30"/>
              </w:rPr>
            </w:pPr>
          </w:p>
        </w:tc>
        <w:tc>
          <w:tcPr>
            <w:tcW w:w="7039" w:type="dxa"/>
            <w:tcBorders>
              <w:top w:val="single" w:color="auto" w:sz="4" w:space="0"/>
              <w:left w:val="nil"/>
              <w:bottom w:val="nil"/>
              <w:right w:val="nil"/>
            </w:tcBorders>
            <w:vAlign w:val="bottom"/>
          </w:tcPr>
          <w:p w14:paraId="51FE56F8">
            <w:pPr>
              <w:pStyle w:val="3"/>
              <w:rPr>
                <w:b/>
                <w:color w:val="000000"/>
                <w:sz w:val="28"/>
                <w:szCs w:val="28"/>
              </w:rPr>
            </w:pPr>
          </w:p>
        </w:tc>
      </w:tr>
      <w:tr w14:paraId="5C9B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660" w:type="dxa"/>
            <w:tcBorders>
              <w:top w:val="nil"/>
              <w:left w:val="nil"/>
              <w:bottom w:val="nil"/>
              <w:right w:val="nil"/>
            </w:tcBorders>
            <w:vAlign w:val="bottom"/>
          </w:tcPr>
          <w:p w14:paraId="4DBBB08D">
            <w:pPr>
              <w:pStyle w:val="3"/>
              <w:jc w:val="center"/>
              <w:rPr>
                <w:rFonts w:ascii="Times New Roman" w:hAnsi="Times New Roman" w:eastAsia="黑体"/>
                <w:b/>
                <w:color w:val="000000"/>
                <w:sz w:val="30"/>
              </w:rPr>
            </w:pPr>
          </w:p>
        </w:tc>
        <w:tc>
          <w:tcPr>
            <w:tcW w:w="7039" w:type="dxa"/>
            <w:tcBorders>
              <w:top w:val="nil"/>
              <w:left w:val="nil"/>
              <w:bottom w:val="nil"/>
              <w:right w:val="nil"/>
            </w:tcBorders>
            <w:vAlign w:val="bottom"/>
          </w:tcPr>
          <w:p w14:paraId="7A018F4D">
            <w:pPr>
              <w:pStyle w:val="3"/>
              <w:rPr>
                <w:b/>
                <w:color w:val="000000"/>
                <w:sz w:val="28"/>
              </w:rPr>
            </w:pPr>
          </w:p>
        </w:tc>
      </w:tr>
      <w:tr w14:paraId="6FE4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0" w:hRule="atLeast"/>
          <w:jc w:val="center"/>
        </w:trPr>
        <w:tc>
          <w:tcPr>
            <w:tcW w:w="2660" w:type="dxa"/>
            <w:tcBorders>
              <w:top w:val="nil"/>
              <w:left w:val="nil"/>
              <w:bottom w:val="nil"/>
              <w:right w:val="nil"/>
            </w:tcBorders>
            <w:vAlign w:val="bottom"/>
          </w:tcPr>
          <w:p w14:paraId="7C2BCE57">
            <w:pPr>
              <w:pStyle w:val="3"/>
              <w:jc w:val="distribute"/>
              <w:rPr>
                <w:rFonts w:ascii="Times New Roman" w:hAnsi="Times New Roman" w:eastAsia="黑体"/>
                <w:b/>
                <w:color w:val="000000"/>
                <w:sz w:val="30"/>
              </w:rPr>
            </w:pPr>
          </w:p>
        </w:tc>
        <w:tc>
          <w:tcPr>
            <w:tcW w:w="7039" w:type="dxa"/>
            <w:tcBorders>
              <w:top w:val="nil"/>
              <w:left w:val="nil"/>
              <w:bottom w:val="nil"/>
              <w:right w:val="nil"/>
            </w:tcBorders>
            <w:vAlign w:val="bottom"/>
          </w:tcPr>
          <w:p w14:paraId="6F4A15FB">
            <w:pPr>
              <w:pStyle w:val="3"/>
              <w:rPr>
                <w:color w:val="000000"/>
                <w:sz w:val="28"/>
              </w:rPr>
            </w:pPr>
          </w:p>
        </w:tc>
      </w:tr>
    </w:tbl>
    <w:p w14:paraId="39280526">
      <w:pPr>
        <w:ind w:firstLine="161" w:firstLineChars="50"/>
        <w:jc w:val="center"/>
        <w:rPr>
          <w:rFonts w:ascii="楷体" w:hAnsi="楷体" w:eastAsia="楷体"/>
          <w:b/>
          <w:bCs/>
          <w:color w:val="000000"/>
          <w:sz w:val="32"/>
          <w:szCs w:val="32"/>
        </w:rPr>
      </w:pPr>
    </w:p>
    <w:p w14:paraId="0C51248C">
      <w:pPr>
        <w:ind w:firstLine="161" w:firstLineChars="50"/>
        <w:jc w:val="center"/>
        <w:rPr>
          <w:rFonts w:ascii="楷体" w:hAnsi="楷体" w:eastAsia="楷体"/>
          <w:b/>
          <w:bCs/>
          <w:color w:val="000000"/>
          <w:sz w:val="32"/>
          <w:szCs w:val="32"/>
        </w:rPr>
      </w:pPr>
    </w:p>
    <w:p w14:paraId="60CFA996">
      <w:pPr>
        <w:ind w:firstLine="161" w:firstLineChars="50"/>
        <w:jc w:val="center"/>
        <w:rPr>
          <w:rFonts w:ascii="楷体" w:hAnsi="楷体" w:eastAsia="楷体"/>
          <w:b/>
          <w:bCs/>
          <w:color w:val="000000"/>
          <w:sz w:val="32"/>
          <w:szCs w:val="32"/>
        </w:rPr>
      </w:pPr>
    </w:p>
    <w:p w14:paraId="5673B7FF">
      <w:pPr>
        <w:ind w:firstLine="161" w:firstLineChars="50"/>
        <w:jc w:val="center"/>
        <w:rPr>
          <w:rFonts w:ascii="楷体" w:hAnsi="楷体" w:eastAsia="楷体"/>
          <w:b/>
          <w:bCs/>
          <w:color w:val="000000"/>
          <w:sz w:val="32"/>
          <w:szCs w:val="32"/>
        </w:rPr>
      </w:pPr>
    </w:p>
    <w:p w14:paraId="2B3CEE4B">
      <w:pPr>
        <w:jc w:val="left"/>
        <w:rPr>
          <w:rFonts w:asciiTheme="minorEastAsia" w:hAnsiTheme="minorEastAsia" w:eastAsiaTheme="minorEastAsia"/>
          <w:color w:val="000000"/>
          <w:sz w:val="28"/>
          <w:szCs w:val="28"/>
        </w:rPr>
      </w:pPr>
    </w:p>
    <w:p w14:paraId="235164C0">
      <w:pPr>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发包方(以下简称甲方):上海立信会计金融学院</w:t>
      </w:r>
    </w:p>
    <w:p w14:paraId="266FDF3E">
      <w:pPr>
        <w:jc w:val="left"/>
        <w:rPr>
          <w:rFonts w:asciiTheme="minorEastAsia" w:hAnsiTheme="minorEastAsia" w:eastAsiaTheme="minorEastAsia"/>
          <w:color w:val="000000"/>
          <w:sz w:val="28"/>
          <w:szCs w:val="28"/>
        </w:rPr>
      </w:pPr>
    </w:p>
    <w:p w14:paraId="52D91691">
      <w:pPr>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承包方(以下简称乙方):*</w:t>
      </w:r>
      <w:r>
        <w:rPr>
          <w:rFonts w:asciiTheme="minorEastAsia" w:hAnsiTheme="minorEastAsia" w:eastAsiaTheme="minorEastAsia"/>
          <w:color w:val="000000"/>
          <w:sz w:val="28"/>
          <w:szCs w:val="28"/>
        </w:rPr>
        <w:t>*********</w:t>
      </w:r>
    </w:p>
    <w:p w14:paraId="2AA2355B">
      <w:pPr>
        <w:ind w:firstLine="551" w:firstLineChars="197"/>
        <w:jc w:val="left"/>
        <w:rPr>
          <w:rFonts w:asciiTheme="minorEastAsia" w:hAnsiTheme="minorEastAsia" w:eastAsiaTheme="minorEastAsia"/>
          <w:sz w:val="28"/>
          <w:szCs w:val="28"/>
        </w:rPr>
      </w:pPr>
    </w:p>
    <w:p w14:paraId="77799D33">
      <w:pPr>
        <w:ind w:firstLine="551" w:firstLineChars="197"/>
        <w:jc w:val="left"/>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依照《中华人民共和国民法典》及其他有关法律、法规的规定，结合上海立信会计金融学院修缮工程的特点，甲、乙双方在平等自愿、协商一致及《2023-2025年度零星修缮工程及应急抢修工程储备库协议》的基础上，达成如下协议：</w:t>
      </w:r>
    </w:p>
    <w:p w14:paraId="30CED79C">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  工程概况</w:t>
      </w:r>
    </w:p>
    <w:p w14:paraId="43D41B07">
      <w:pPr>
        <w:ind w:firstLine="560" w:firstLineChars="200"/>
        <w:rPr>
          <w:rFonts w:eastAsia="黑体" w:asciiTheme="minorEastAsia" w:hAnsiTheme="minorEastAsia"/>
          <w:sz w:val="28"/>
          <w:szCs w:val="28"/>
          <w:u w:val="single"/>
        </w:rPr>
      </w:pPr>
      <w:r>
        <w:rPr>
          <w:rFonts w:hint="eastAsia" w:asciiTheme="minorEastAsia" w:hAnsiTheme="minorEastAsia" w:eastAsiaTheme="minorEastAsia"/>
          <w:sz w:val="28"/>
          <w:szCs w:val="28"/>
        </w:rPr>
        <w:t>1、工程名称：</w:t>
      </w:r>
      <w:r>
        <w:rPr>
          <w:rFonts w:hint="eastAsia" w:ascii="黑体" w:eastAsia="黑体"/>
          <w:color w:val="000000"/>
          <w:sz w:val="28"/>
          <w:szCs w:val="28"/>
          <w:u w:val="single"/>
        </w:rPr>
        <w:t>上川路校区*</w:t>
      </w:r>
      <w:r>
        <w:rPr>
          <w:rFonts w:ascii="黑体" w:eastAsia="黑体"/>
          <w:color w:val="000000"/>
          <w:sz w:val="28"/>
          <w:szCs w:val="28"/>
          <w:u w:val="single"/>
        </w:rPr>
        <w:t>*****</w:t>
      </w:r>
      <w:r>
        <w:rPr>
          <w:rFonts w:hint="eastAsia" w:ascii="黑体" w:eastAsia="黑体"/>
          <w:color w:val="000000"/>
          <w:sz w:val="28"/>
          <w:szCs w:val="28"/>
          <w:u w:val="single"/>
        </w:rPr>
        <w:t>工程</w:t>
      </w:r>
    </w:p>
    <w:p w14:paraId="560AE374">
      <w:pPr>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2、工程地点：</w:t>
      </w:r>
      <w:r>
        <w:rPr>
          <w:rFonts w:hint="eastAsia" w:asciiTheme="minorEastAsia" w:hAnsiTheme="minorEastAsia" w:eastAsiaTheme="minorEastAsia"/>
          <w:sz w:val="28"/>
          <w:szCs w:val="28"/>
          <w:u w:val="single"/>
        </w:rPr>
        <w:t>上海立信会计金融学院上川路校区</w:t>
      </w:r>
    </w:p>
    <w:p w14:paraId="6FFFBE11">
      <w:pPr>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3、施工部位：</w:t>
      </w:r>
      <w:r>
        <w:rPr>
          <w:rFonts w:hint="eastAsia" w:ascii="黑体" w:eastAsia="黑体"/>
          <w:color w:val="000000"/>
          <w:sz w:val="28"/>
          <w:szCs w:val="28"/>
          <w:u w:val="single"/>
        </w:rPr>
        <w:t>上川路校区*</w:t>
      </w:r>
      <w:r>
        <w:rPr>
          <w:rFonts w:ascii="黑体" w:eastAsia="黑体"/>
          <w:color w:val="000000"/>
          <w:sz w:val="28"/>
          <w:szCs w:val="28"/>
          <w:u w:val="single"/>
        </w:rPr>
        <w:t>*****</w:t>
      </w:r>
    </w:p>
    <w:p w14:paraId="6545614B">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二、工程承包内容及方式</w:t>
      </w:r>
    </w:p>
    <w:p w14:paraId="000374BD">
      <w:pPr>
        <w:ind w:firstLine="560" w:firstLineChars="200"/>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sz w:val="28"/>
          <w:szCs w:val="28"/>
        </w:rPr>
        <w:t>1、工程承包内容：</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sz w:val="28"/>
          <w:szCs w:val="28"/>
        </w:rPr>
        <w:t>详见项目邀请招标比价文件。</w:t>
      </w:r>
    </w:p>
    <w:p w14:paraId="5B9F598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2、工程承包方式：</w:t>
      </w:r>
      <w:r>
        <w:rPr>
          <w:rFonts w:hint="eastAsia" w:asciiTheme="minorEastAsia" w:hAnsiTheme="minorEastAsia" w:eastAsiaTheme="minorEastAsia"/>
          <w:sz w:val="28"/>
          <w:szCs w:val="28"/>
          <w:u w:val="single"/>
        </w:rPr>
        <w:t>采取包工包料方式</w:t>
      </w:r>
    </w:p>
    <w:p w14:paraId="52F37386">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三、开竣工日期</w:t>
      </w:r>
    </w:p>
    <w:p w14:paraId="26DB557A">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开工日期以甲方通知为准，总工期</w:t>
      </w:r>
      <w:r>
        <w:rPr>
          <w:rFonts w:asciiTheme="minorEastAsia" w:hAnsiTheme="minorEastAsia" w:eastAsiaTheme="minorEastAsia"/>
          <w:sz w:val="28"/>
          <w:szCs w:val="28"/>
        </w:rPr>
        <w:t>30天</w:t>
      </w:r>
      <w:r>
        <w:rPr>
          <w:rFonts w:hint="eastAsia" w:asciiTheme="minorEastAsia" w:hAnsiTheme="minorEastAsia" w:eastAsiaTheme="minorEastAsia"/>
          <w:sz w:val="28"/>
          <w:szCs w:val="28"/>
        </w:rPr>
        <w:t>。</w:t>
      </w:r>
    </w:p>
    <w:p w14:paraId="0FDBE313">
      <w:pPr>
        <w:ind w:firstLine="551" w:firstLineChars="196"/>
        <w:rPr>
          <w:rFonts w:ascii="宋体" w:hAnsi="宋体"/>
          <w:b/>
          <w:sz w:val="28"/>
          <w:szCs w:val="28"/>
        </w:rPr>
      </w:pPr>
      <w:r>
        <w:rPr>
          <w:rFonts w:hint="eastAsia" w:ascii="宋体" w:hAnsi="宋体"/>
          <w:b/>
          <w:sz w:val="28"/>
          <w:szCs w:val="28"/>
        </w:rPr>
        <w:t>四、工程监理</w:t>
      </w:r>
    </w:p>
    <w:p w14:paraId="72176563">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本工程实行工程监理，承担监理单位名称：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，监理单位委派的工程师姓名：</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，职务：</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。受监理单位委派的工程师，全面负责本工程监理工作的实施。</w:t>
      </w:r>
    </w:p>
    <w:p w14:paraId="3551E121">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1.发包人委托监理人的职权：施工至质保阶段项目质量、进度、安全、文明施工、环境保护以及合格项目数量审核签证，协助建设单位对项目投资进行控制。监理人应对承包商的全部项目行为进行监管、检查、控制和协调，具体包括但不限于以下内容：</w:t>
      </w:r>
    </w:p>
    <w:p w14:paraId="12063455">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(1)审查认可承包人的各项施工准备工作，协助委托人下达开工通知书。</w:t>
      </w:r>
    </w:p>
    <w:p w14:paraId="10EB9C91">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(2)对有关的更改设计、施工技术措施等内容的必要性和合理性进行核定，并将审核意见报委托人备案。</w:t>
      </w:r>
    </w:p>
    <w:p w14:paraId="432D9062">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(3)审核承包人提供的材料、构配件和设计的数量和质量。</w:t>
      </w:r>
    </w:p>
    <w:p w14:paraId="38E3925D">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(4)监督施工单位严格按现行规范、规程、标准和设计要求施工，控制项目质量。在关键的施工工序上必须进行旁站监理。</w:t>
      </w:r>
    </w:p>
    <w:p w14:paraId="6A867ECD">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(5)抽查项目施工质量,对隐蔽项目进行复验签证。</w:t>
      </w:r>
    </w:p>
    <w:p w14:paraId="5B554CBA">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(6)对发生的质量缺陷、质量隐患和质量事故下达整改通知书并督促整改。</w:t>
      </w:r>
    </w:p>
    <w:p w14:paraId="367D9FC0">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(7)对承包人安全生产、文明施工进行控制。</w:t>
      </w:r>
    </w:p>
    <w:p w14:paraId="1DA337AF">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(8)签发单位工程或合同工程的暂停令和复工令。</w:t>
      </w:r>
    </w:p>
    <w:p w14:paraId="196845DA">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(9)督促承包人竣工档案的编制进度、质量。</w:t>
      </w:r>
    </w:p>
    <w:p w14:paraId="33C291A3">
      <w:pPr>
        <w:ind w:firstLine="551" w:firstLineChars="196"/>
        <w:rPr>
          <w:rFonts w:ascii="宋体" w:hAnsi="宋体"/>
          <w:b/>
          <w:sz w:val="28"/>
          <w:szCs w:val="28"/>
        </w:rPr>
      </w:pPr>
      <w:r>
        <w:rPr>
          <w:rFonts w:hint="eastAsia" w:ascii="宋体" w:hAnsi="宋体"/>
          <w:b/>
          <w:sz w:val="28"/>
          <w:szCs w:val="28"/>
        </w:rPr>
        <w:t>五、质量标准</w:t>
      </w:r>
    </w:p>
    <w:p w14:paraId="191B8141">
      <w:pPr>
        <w:ind w:firstLine="560" w:firstLineChars="200"/>
        <w:rPr>
          <w:rFonts w:ascii="宋体" w:hAnsi="宋体"/>
          <w:sz w:val="28"/>
          <w:szCs w:val="28"/>
        </w:rPr>
      </w:pPr>
      <w:r>
        <w:rPr>
          <w:rFonts w:hint="eastAsia" w:ascii="宋体" w:hAnsi="宋体"/>
          <w:sz w:val="28"/>
          <w:szCs w:val="28"/>
        </w:rPr>
        <w:t>工程质量标准：</w:t>
      </w:r>
      <w:r>
        <w:rPr>
          <w:rFonts w:hint="eastAsia" w:asciiTheme="minorEastAsia" w:hAnsiTheme="minorEastAsia" w:eastAsiaTheme="minorEastAsia"/>
          <w:sz w:val="28"/>
          <w:szCs w:val="28"/>
        </w:rPr>
        <w:t>符合国家施工验收规范规定的质量标准。因乙方原因造成工程质量未达到前述标准，甲方有权要求乙方返工直至工程质量达到前述标准为止，并由乙方承担由此增加的费用和（或）延误的工期。</w:t>
      </w:r>
    </w:p>
    <w:p w14:paraId="3EA8377D">
      <w:pPr>
        <w:ind w:firstLine="551" w:firstLineChars="196"/>
        <w:rPr>
          <w:rFonts w:asciiTheme="minorEastAsia" w:hAnsiTheme="minorEastAsia" w:eastAsiaTheme="minorEastAsia"/>
          <w:b/>
          <w:sz w:val="28"/>
          <w:szCs w:val="28"/>
        </w:rPr>
      </w:pPr>
      <w:r>
        <w:rPr>
          <w:rFonts w:hint="eastAsia" w:ascii="宋体" w:hAnsi="宋体"/>
          <w:b/>
          <w:sz w:val="28"/>
          <w:szCs w:val="28"/>
        </w:rPr>
        <w:t>六、合同价款</w:t>
      </w:r>
    </w:p>
    <w:p w14:paraId="4A627D58">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合同金额：本合同工程造价暂定为(人民币)</w:t>
      </w:r>
      <w:r>
        <w:rPr>
          <w:sz w:val="28"/>
          <w:szCs w:val="28"/>
        </w:rPr>
        <w:t xml:space="preserve"> ________</w:t>
      </w:r>
      <w:r>
        <w:rPr>
          <w:rFonts w:hint="eastAsia" w:asciiTheme="minorEastAsia" w:hAnsiTheme="minorEastAsia" w:eastAsiaTheme="minorEastAsia"/>
          <w:sz w:val="28"/>
          <w:szCs w:val="28"/>
        </w:rPr>
        <w:t>元，金额大写：_</w:t>
      </w:r>
      <w:r>
        <w:rPr>
          <w:rFonts w:asciiTheme="minorEastAsia" w:hAnsiTheme="minorEastAsia" w:eastAsiaTheme="minorEastAsia"/>
          <w:sz w:val="28"/>
          <w:szCs w:val="28"/>
        </w:rPr>
        <w:t>_______________</w:t>
      </w:r>
      <w:r>
        <w:rPr>
          <w:rFonts w:hint="eastAsia" w:asciiTheme="minorEastAsia" w:hAnsiTheme="minorEastAsia" w:eastAsiaTheme="minorEastAsia"/>
          <w:sz w:val="28"/>
          <w:szCs w:val="28"/>
        </w:rPr>
        <w:t>（具体金额以甲方竣工审价结果为准）。</w:t>
      </w:r>
    </w:p>
    <w:p w14:paraId="61EA8CB1">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七、结算依据</w:t>
      </w:r>
    </w:p>
    <w:p w14:paraId="1AA8AADB">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工程预（决）算执行《建设工程工程量清单计价规范》GB50500－2013，消耗量参照《上海市建筑装饰工程预算定额（2016）》、《上海市安装工程预算定额（2016）》、《上海市房屋修缮工程工程预算定额（2016）》、《上海市市政工程预算定额（2016）》等相关规定。</w:t>
      </w:r>
    </w:p>
    <w:p w14:paraId="3554DC1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2、工程量结算由审计处委派的审价机构根据竣工图、竣工示意图、结合现场实际情况，按实计算，以现场测量为准。</w:t>
      </w:r>
    </w:p>
    <w:p w14:paraId="6369C92C">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3、工程款最终按审定价下浮3.68%结算。</w:t>
      </w:r>
    </w:p>
    <w:p w14:paraId="785420A4">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八、相关费率标准</w:t>
      </w:r>
    </w:p>
    <w:p w14:paraId="127EC79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房屋修缮工程综合费率、建筑装饰综合费率、安装工程综合费率、市政工程综合费率、安全文明措施费、人工费、税后总价下浮率等计算标准按照上海立信会计金融学院2023-2025年度零星修缮工程及应急抢修工程储备库招标相应费率，具体如下：</w:t>
      </w:r>
    </w:p>
    <w:p w14:paraId="24937D3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a、企业管理费和利润：参照“沪建标定〔2023〕486号”文件计值；</w:t>
      </w:r>
    </w:p>
    <w:p w14:paraId="5F5D3996">
      <w:pPr>
        <w:ind w:left="279" w:leftChars="133"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b、安全文明措施费率：参照“沪建标定〔2023〕486号”文件计值；</w:t>
      </w:r>
    </w:p>
    <w:p w14:paraId="420DC9FA">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c、增值税：参照“沪建标定〔2019〕176号”按9%计取，合同期内如有新的增值税文件按新的增值税文件执行。</w:t>
      </w:r>
    </w:p>
    <w:p w14:paraId="5D50DCA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d、垃圾外运费按发车单结算10吨1000元计取，计入税后补差。</w:t>
      </w:r>
    </w:p>
    <w:p w14:paraId="2BA236E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如上海市出台相关规定则相应调整。</w:t>
      </w:r>
    </w:p>
    <w:p w14:paraId="276E9527">
      <w:pPr>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九、合同组成部分</w:t>
      </w:r>
    </w:p>
    <w:p w14:paraId="12C054A1">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1、邀请招标比价文件</w:t>
      </w:r>
    </w:p>
    <w:p w14:paraId="703F1480">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2、投标书（其中预算书作为本合同附件）</w:t>
      </w:r>
    </w:p>
    <w:p w14:paraId="2CC84423">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3、中标通知书</w:t>
      </w:r>
    </w:p>
    <w:p w14:paraId="33BD1E79">
      <w:pPr>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十、甲方责任及义务</w:t>
      </w:r>
    </w:p>
    <w:p w14:paraId="734EBE7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1、开工三日前要为乙方入场施工创造条件,以不影响施工为原则。</w:t>
      </w:r>
    </w:p>
    <w:p w14:paraId="77E9B008">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2、提供施工期间的水源、电源。</w:t>
      </w:r>
    </w:p>
    <w:p w14:paraId="06F1B686">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3、负责办理学校管理部门开工手续，负责协调乙方与学校各职能部门的关系。</w:t>
      </w:r>
    </w:p>
    <w:p w14:paraId="46CFCD24">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4、督促乙方遵守学校管理部门的各项规章制度。</w:t>
      </w:r>
    </w:p>
    <w:p w14:paraId="65382D58">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负责工程质量施工进度的监督,参加工程材料验收\隐蔽工程验收、竣工验收。甲方有权自行或邀请有相关资质和经验的第三方对全部工程内容及其施工工艺、材料和工程设备进行检查和检验。乙方应为检查和检验提供方便，包括到施工现场进行察看和查阅施工原始记录。</w:t>
      </w:r>
    </w:p>
    <w:p w14:paraId="3BEDD5A6">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十一、乙方责任及义务</w:t>
      </w:r>
    </w:p>
    <w:p w14:paraId="0CE7DD54">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1、施工中严格执行施工规范、质量标准、安全操作规程、防火规定、安全、保质、按期完成本合同约定的工程内容。</w:t>
      </w:r>
    </w:p>
    <w:p w14:paraId="23256109">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2、按合同约定的工作内容和进度要求，编制设计、施工的组织和实施计划，保证项目进度计划的实现，并对所有设计、施工作业和施工方法，以及全部工程的完备性和安全可靠性负责。</w:t>
      </w:r>
    </w:p>
    <w:p w14:paraId="6C26020E">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3、按法律规定和合同约定采取安全文明施工、职业健康和环境保护措施，办理员工工伤保险等相关保险，确保工程及人员、材料、设备和设施的安全，防止因工程实施造成的人身伤害和财产损失。</w:t>
      </w:r>
    </w:p>
    <w:p w14:paraId="21215E13">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乙方签订本合同视为乙方已经对现场和工程实施条件进行查勘，并充分了解工程所在地的气象条件、交通条件以及其他与完成工作有关的其他资料，并已充分了解评估施工现场及周围环境对工程可能产生的影响，自愿承担相应风险与责任。</w:t>
      </w:r>
    </w:p>
    <w:p w14:paraId="361EC34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5、保证乙方及乙方相关工作人员遵守并严格执行上海立信会计金融学院修缮工程管理的有关规定。</w:t>
      </w:r>
    </w:p>
    <w:p w14:paraId="2C5DC63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6、不得扰乱学校正常的教学科研秩序及污染环境。</w:t>
      </w:r>
    </w:p>
    <w:p w14:paraId="65E3EDC1">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7、保证施工现场的整洁，每日完工后清扫施工现场。</w:t>
      </w:r>
    </w:p>
    <w:p w14:paraId="3BF64EEA">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8、验收合格后10天内提交完整结算资料。</w:t>
      </w:r>
    </w:p>
    <w:p w14:paraId="12EC8DF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未经甲方同意，乙方不得分包或转包。若乙方未经甲方同意即自行分包或转包，甲方有权解除本合同，要求乙方退场并要求乙方每延误一日向甲方支付本合同工程造价金额2%的违约金（自乙方进场之日至退场之日）。</w:t>
      </w:r>
    </w:p>
    <w:p w14:paraId="49D89B9F">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10、乙方及乙方人员在合同履行过程中如出现人身、财产损害或造成第三方损害，应由乙方自行承担责任。</w:t>
      </w:r>
    </w:p>
    <w:p w14:paraId="609F86C9">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十二、材料供应</w:t>
      </w:r>
    </w:p>
    <w:p w14:paraId="5807462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1、乙方对施工过程中使用的全部材料负责，须提供合格证、质保书等资料随时接受甲方检查。乙方在材料、设备到施工现场前通知甲方。双方就材料、设备质量、环保标准共同验收，由甲方确认备案。</w:t>
      </w:r>
    </w:p>
    <w:p w14:paraId="6C6B2B66">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因乙方提供的材料和工程设备不符合国家强制性标准、规范的规定或合同约定的标准、规范，所造成的质量缺陷，由乙方自费修复。在履行合同过程中，由于国家新颁布的强制性标准、规范，造成乙方负责提供的材料和工程设备，虽符合合同约定的标准，但不符合新颁布的强制性标准时，由乙方负责修复或重新订货，相关费用支出及导致的工期延长由乙方负责。</w:t>
      </w:r>
    </w:p>
    <w:p w14:paraId="0FB39841">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3、施工期间，乙方提供的材料和工程设备由乙方妥善保管，保管费用由乙方承担。</w:t>
      </w:r>
    </w:p>
    <w:p w14:paraId="6EABC359">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十三、工期延误</w:t>
      </w:r>
    </w:p>
    <w:p w14:paraId="668D9F47">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因乙方责任不能按期完工的，工期不顺延；因乙方原因造成工程质量存在问题的返工费用由乙方承担，工期不顺延。</w:t>
      </w:r>
    </w:p>
    <w:p w14:paraId="43BB069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对以下原因造成竣工的日期延误，经甲方确认，工期应当顺延：不可抗力；甲方未按合同约定完成其应当负责的工作而影响工期的。</w:t>
      </w:r>
    </w:p>
    <w:p w14:paraId="36A15EBD">
      <w:pPr>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十四、工程开工、竣工及保修期</w:t>
      </w:r>
    </w:p>
    <w:p w14:paraId="6944528B">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1、开工：甲乙双方通过确定方案、合同签订、工程技术交底等前期工作完成后，材料、施工人员到达施工现场开始运作视为开工。</w:t>
      </w:r>
    </w:p>
    <w:p w14:paraId="1AF305A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2、竣工验收前，乙方负责保护工程成品和工程现场的全部安全。</w:t>
      </w:r>
    </w:p>
    <w:p w14:paraId="394EA051">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工程完工后，乙方应通知甲方验收，甲方自接到竣工验收通知单后七日内组织验收。验收参与方共同签字盖章视为验收合格，双方办理移交手续。验收不合格的，甲方有权要求乙方对不合格工程返工、修复或采取其他补救措施，由此增加的费用和（或）延误的工期由乙方承担。乙方在完成不合格工程的返工、修复或采取其他补救措施后，应重新提交竣工验收通知单，重新进行验收。</w:t>
      </w:r>
    </w:p>
    <w:p w14:paraId="5DAB191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由于乙方的原因，未能按项目进度计划完成工作，乙方应采取措施加快进度，并承担加快进度所增加的费用。由于乙方原因造成工期延误并导致逾期竣工的，乙方应自逾期之日向甲方支付本合同工程造价金额2%的逾期竣工违约金。乙方支付逾期竣工违约金，不免除乙方完成工作及修补缺陷的义务，且甲方有权从竣工结算款或约定提交的履约担保中扣除相当于逾期竣工违约金的金额。</w:t>
      </w:r>
    </w:p>
    <w:p w14:paraId="10CC3313">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5、若验收合格，乙方竣工退场。乙方应对施工现场进行清理，并撤离相关人员，使得施工现场处于以下状态，直至甲方检验合格：</w:t>
      </w:r>
    </w:p>
    <w:p w14:paraId="70F60A68">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（1）施工现场内残留的垃圾已全部清除出场，场地已进行清理、平整或复原；</w:t>
      </w:r>
    </w:p>
    <w:p w14:paraId="263D70B6">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（2）按合同约定应撤离的人员、乙方提供的施工设备和剩余的材料，包括废弃的施工设备和材料，已按计划撤离施工现场；</w:t>
      </w:r>
    </w:p>
    <w:p w14:paraId="6BE48B3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（3）施工现场其他竣工退场工作已全部完成。</w:t>
      </w:r>
    </w:p>
    <w:p w14:paraId="737A2E5A">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施工现场的竣工退场费用由乙方承担。乙方应在合同约定的期限内完成竣工退场，逾期未完成的，甲方有权出售或另行处理乙方遗留的物品，由此支出的费用由乙方承担，甲方出售乙方遗留物品所得款项在扣除必要费用后应返还乙方。</w:t>
      </w:r>
    </w:p>
    <w:p w14:paraId="445095CF">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6、一般工程保修期为两年（防水工程或含防水分项的一般工程保修期为五年），自本工程验收合格双方签字之日起计。</w:t>
      </w:r>
    </w:p>
    <w:p w14:paraId="74E85076">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7、在工程移交甲方后，因乙方原因产生的质量缺陷，乙方应承担质量缺陷责任和保修义务。</w:t>
      </w:r>
    </w:p>
    <w:p w14:paraId="7B6A5AE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在保修期内，甲方在使用过程中，发现已接收的工程存在缺陷或损坏的，应通知乙方予以修复，乙方应在24小时内完成修复工作；经甲方催告后乙方仍未修复的，甲方有权自行修复或委托第三方修复，所需费用由乙方承担。</w:t>
      </w:r>
    </w:p>
    <w:p w14:paraId="3A73C511">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十五、工程款支付方式</w:t>
      </w:r>
    </w:p>
    <w:p w14:paraId="50333BB1">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1、工程竣工验收合格，临时设施场地全部清场，且使用单位签署竣工验收单，竣工结算审价结束并提交完整的竣工档案资料，乙方先行支付工程结算价的3%作为工程质保金。甲方收到工程质保金后1</w:t>
      </w:r>
      <w:r>
        <w:rPr>
          <w:rFonts w:asciiTheme="minorEastAsia" w:hAnsiTheme="minorEastAsia" w:eastAsiaTheme="minorEastAsia"/>
          <w:sz w:val="28"/>
          <w:szCs w:val="28"/>
        </w:rPr>
        <w:t>0</w:t>
      </w:r>
      <w:r>
        <w:rPr>
          <w:rFonts w:hint="eastAsia" w:asciiTheme="minorEastAsia" w:hAnsiTheme="minorEastAsia" w:eastAsiaTheme="minorEastAsia"/>
          <w:sz w:val="28"/>
          <w:szCs w:val="28"/>
        </w:rPr>
        <w:t>个工作日内，付至工程结算价的100%。</w:t>
      </w:r>
    </w:p>
    <w:p w14:paraId="2D804C5A">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2、保修期满后，甲方一次性无息返还全额工程质保金给乙方。</w:t>
      </w:r>
    </w:p>
    <w:p w14:paraId="579F82FE">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3、双方收付款账号信息如下：</w:t>
      </w:r>
    </w:p>
    <w:p w14:paraId="4D35CC46">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（1）甲方单位名称：上海立信会计金融学院</w:t>
      </w:r>
    </w:p>
    <w:p w14:paraId="574731A6">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地址：上海市浦东新区上川路9</w:t>
      </w:r>
      <w:r>
        <w:rPr>
          <w:rFonts w:asciiTheme="minorEastAsia" w:hAnsiTheme="minorEastAsia" w:eastAsiaTheme="minorEastAsia"/>
          <w:sz w:val="28"/>
          <w:szCs w:val="28"/>
        </w:rPr>
        <w:t>95</w:t>
      </w:r>
      <w:r>
        <w:rPr>
          <w:rFonts w:hint="eastAsia" w:asciiTheme="minorEastAsia" w:hAnsiTheme="minorEastAsia" w:eastAsiaTheme="minorEastAsia"/>
          <w:sz w:val="28"/>
          <w:szCs w:val="28"/>
        </w:rPr>
        <w:t>号</w:t>
      </w:r>
    </w:p>
    <w:p w14:paraId="5C56947B">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税号（社会信用统一代码）：1</w:t>
      </w:r>
      <w:r>
        <w:rPr>
          <w:rFonts w:asciiTheme="minorEastAsia" w:hAnsiTheme="minorEastAsia" w:eastAsiaTheme="minorEastAsia"/>
          <w:sz w:val="28"/>
          <w:szCs w:val="28"/>
        </w:rPr>
        <w:t>2310000MB2F01828Q</w:t>
      </w:r>
    </w:p>
    <w:p w14:paraId="76B7D7CA">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开户行：中国农业行上海市浦东大道支行</w:t>
      </w:r>
    </w:p>
    <w:p w14:paraId="6D5045AA">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账号：0</w:t>
      </w:r>
      <w:r>
        <w:rPr>
          <w:rFonts w:asciiTheme="minorEastAsia" w:hAnsiTheme="minorEastAsia" w:eastAsiaTheme="minorEastAsia"/>
          <w:sz w:val="28"/>
          <w:szCs w:val="28"/>
        </w:rPr>
        <w:t>3322500040006068</w:t>
      </w:r>
    </w:p>
    <w:p w14:paraId="2A58A931">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银行联行号：1</w:t>
      </w:r>
      <w:r>
        <w:rPr>
          <w:rFonts w:asciiTheme="minorEastAsia" w:hAnsiTheme="minorEastAsia" w:eastAsiaTheme="minorEastAsia"/>
          <w:sz w:val="28"/>
          <w:szCs w:val="28"/>
        </w:rPr>
        <w:t>03290076039</w:t>
      </w:r>
    </w:p>
    <w:p w14:paraId="0E7A7E3A">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（2）乙方单位名称： </w:t>
      </w:r>
    </w:p>
    <w:p w14:paraId="09C86B18">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地址：</w:t>
      </w:r>
    </w:p>
    <w:p w14:paraId="1D9E928C">
      <w:pPr>
        <w:ind w:firstLine="840" w:firstLineChars="300"/>
        <w:rPr>
          <w:rFonts w:asciiTheme="minorEastAsia" w:hAnsiTheme="minorEastAsia" w:eastAsiaTheme="minorEastAsia"/>
          <w:sz w:val="28"/>
          <w:szCs w:val="28"/>
        </w:rPr>
      </w:pPr>
      <w:r>
        <w:rPr>
          <w:rFonts w:asciiTheme="minorEastAsia" w:hAnsiTheme="minorEastAsia" w:eastAsiaTheme="minorEastAsia"/>
          <w:sz w:val="28"/>
          <w:szCs w:val="28"/>
        </w:rPr>
        <w:t xml:space="preserve">开户行： </w:t>
      </w:r>
    </w:p>
    <w:p w14:paraId="1941EACB">
      <w:pPr>
        <w:ind w:firstLine="840" w:firstLineChars="300"/>
        <w:rPr>
          <w:rFonts w:asciiTheme="minorEastAsia" w:hAnsiTheme="minorEastAsia" w:eastAsiaTheme="minorEastAsia"/>
          <w:sz w:val="28"/>
          <w:szCs w:val="28"/>
        </w:rPr>
      </w:pPr>
      <w:r>
        <w:rPr>
          <w:rFonts w:asciiTheme="minorEastAsia" w:hAnsiTheme="minorEastAsia" w:eastAsiaTheme="minorEastAsia"/>
          <w:sz w:val="28"/>
          <w:szCs w:val="28"/>
        </w:rPr>
        <w:t>账号：</w:t>
      </w:r>
    </w:p>
    <w:p w14:paraId="180292BC">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税号（社会信用统一代码）</w:t>
      </w:r>
      <w:r>
        <w:rPr>
          <w:rFonts w:asciiTheme="minorEastAsia" w:hAnsiTheme="minorEastAsia" w:eastAsiaTheme="minorEastAsia"/>
          <w:sz w:val="28"/>
          <w:szCs w:val="28"/>
        </w:rPr>
        <w:t>：</w:t>
      </w:r>
    </w:p>
    <w:p w14:paraId="164B4683">
      <w:pPr>
        <w:ind w:firstLine="840" w:firstLineChars="300"/>
        <w:rPr>
          <w:rFonts w:asciiTheme="minorEastAsia" w:hAnsiTheme="minorEastAsia" w:eastAsiaTheme="minorEastAsia"/>
          <w:sz w:val="28"/>
          <w:szCs w:val="28"/>
        </w:rPr>
      </w:pPr>
      <w:r>
        <w:rPr>
          <w:rFonts w:asciiTheme="minorEastAsia" w:hAnsiTheme="minorEastAsia" w:eastAsiaTheme="minorEastAsia"/>
          <w:sz w:val="28"/>
          <w:szCs w:val="28"/>
        </w:rPr>
        <w:t>银行联行号：</w:t>
      </w:r>
    </w:p>
    <w:p w14:paraId="02EFAD1D">
      <w:pPr>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十六、违约责任</w:t>
      </w:r>
    </w:p>
    <w:p w14:paraId="4BA2C4D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1、一方当事人未按约定履行合同义务给对方造成损失的，应当承担赔偿责任；因违反有关法律规定受到处罚的，最终责任由责任方承担。</w:t>
      </w:r>
    </w:p>
    <w:p w14:paraId="5BCFFC8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2、一方当事人无法继续履行合同的，应当及时通知另一方，并由责任方承担因合同解除而造成的损失。</w:t>
      </w:r>
    </w:p>
    <w:p w14:paraId="7E1D7866">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3、出现下列情形，属于乙方违约：</w:t>
      </w:r>
    </w:p>
    <w:p w14:paraId="240613B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（1）因乙方原因导致的乙方文件、实施和竣工的工程不符合法律法规、工程质量验收标准以及合同约定；</w:t>
      </w:r>
    </w:p>
    <w:p w14:paraId="193108EF">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（2）乙方违反合同约定进行转包或违法分包的；</w:t>
      </w:r>
    </w:p>
    <w:p w14:paraId="22FE524E">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（3）乙方违反约定采购和使用不合格材料或工程设备；</w:t>
      </w:r>
    </w:p>
    <w:p w14:paraId="69FD497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（4）因乙方原因导致工程质量不符合合同要求的；</w:t>
      </w:r>
    </w:p>
    <w:p w14:paraId="4BB6DB6C">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（5）乙方未能按项目进度计划及时完成合同约定的工作，造成工期延误；</w:t>
      </w:r>
    </w:p>
    <w:p w14:paraId="4269B1D0">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（6）由于乙方原因未能通过竣工验收的；</w:t>
      </w:r>
    </w:p>
    <w:p w14:paraId="3D2956BE">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（7）乙方在保修期内，未能在合理期限进行修复，或拒绝按甲方指示进行修复的；</w:t>
      </w:r>
    </w:p>
    <w:p w14:paraId="2EF5184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（8）乙方明确表示或者以其行为表明不履行合同主要义务的。</w:t>
      </w:r>
    </w:p>
    <w:p w14:paraId="5FC03199">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乙方发生上述违约情况时，甲方可向乙方发出通知，要求乙方采取有效措施纠正违约行为。乙方应承担因其违约行为而增加的费用和（或）延误的工期，并按合同价款的10%向甲方支付违约金。违约金不足以赔偿甲方损失的，乙方应赔偿甲方全部损失。</w:t>
      </w:r>
    </w:p>
    <w:p w14:paraId="08305EB3">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4、由于乙方责任延误工期的，每延误一日，乙方支付给甲方本合同工程造价金额2%的违约金。</w:t>
      </w:r>
    </w:p>
    <w:p w14:paraId="4AECCD4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5、由于乙方责任导致工程质量不合格，乙方必须进行彻底返工修理。因返工造成工程的延期交付视同工程延误，按本条第四款的标准支付违约金。</w:t>
      </w:r>
    </w:p>
    <w:p w14:paraId="5DE61E08">
      <w:pPr>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十七、争议解决方式</w:t>
      </w:r>
    </w:p>
    <w:p w14:paraId="3256FFFD">
      <w:pPr>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本合同项下发生的争议，双方应当协商或向第三方申请调解解决，协商或调解解决不成时，向</w:t>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softHyphen/>
      </w:r>
      <w:r>
        <w:rPr>
          <w:rFonts w:hint="eastAsia" w:asciiTheme="minorEastAsia" w:hAnsiTheme="minorEastAsia" w:eastAsiaTheme="minorEastAsia"/>
          <w:sz w:val="28"/>
          <w:szCs w:val="28"/>
        </w:rPr>
        <w:t>上海市浦东新区人民法院起诉。</w:t>
      </w:r>
    </w:p>
    <w:p w14:paraId="75C8950C">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十八</w:t>
      </w:r>
      <w:r>
        <w:rPr>
          <w:rFonts w:hint="eastAsia" w:asciiTheme="minorEastAsia" w:hAnsiTheme="minorEastAsia" w:eastAsiaTheme="minorEastAsia"/>
          <w:sz w:val="28"/>
          <w:szCs w:val="28"/>
        </w:rPr>
        <w:t>、本合同一式陆份，甲方执肆份，乙方执贰份，经甲乙双方签字(盖章)后生效。</w:t>
      </w:r>
    </w:p>
    <w:p w14:paraId="40988EB1">
      <w:pPr>
        <w:widowControl w:val="0"/>
        <w:numPr>
          <w:ilvl w:val="0"/>
          <w:numId w:val="0"/>
        </w:numPr>
        <w:spacing w:line="480" w:lineRule="exact"/>
        <w:jc w:val="both"/>
        <w:rPr>
          <w:rFonts w:hint="eastAsia" w:asciiTheme="minorEastAsia" w:hAnsiTheme="minorEastAsia" w:eastAsiaTheme="minorEastAsia"/>
          <w:sz w:val="28"/>
          <w:szCs w:val="28"/>
        </w:rPr>
      </w:pPr>
    </w:p>
    <w:p w14:paraId="6546D72C">
      <w:pPr>
        <w:spacing w:line="480" w:lineRule="exact"/>
        <w:rPr>
          <w:rFonts w:asciiTheme="minorEastAsia" w:hAnsiTheme="minorEastAsia" w:eastAsiaTheme="minorEastAsia"/>
          <w:sz w:val="28"/>
          <w:szCs w:val="28"/>
        </w:rPr>
      </w:pPr>
    </w:p>
    <w:p w14:paraId="482CC4D7">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甲方(盖章)：上海立信会计金融学院               </w:t>
      </w:r>
    </w:p>
    <w:p w14:paraId="64EA37BB">
      <w:pPr>
        <w:spacing w:line="480" w:lineRule="exact"/>
        <w:rPr>
          <w:rFonts w:asciiTheme="minorEastAsia" w:hAnsiTheme="minorEastAsia" w:eastAsiaTheme="minorEastAsia"/>
          <w:sz w:val="28"/>
          <w:szCs w:val="28"/>
        </w:rPr>
      </w:pPr>
    </w:p>
    <w:p w14:paraId="41980A7A">
      <w:pPr>
        <w:spacing w:line="48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法定代表人或授权代表人：</w:t>
      </w:r>
      <w:bookmarkStart w:id="0" w:name="_GoBack"/>
      <w:bookmarkEnd w:id="0"/>
    </w:p>
    <w:p w14:paraId="09C277D8">
      <w:pPr>
        <w:spacing w:line="480" w:lineRule="exact"/>
        <w:rPr>
          <w:rFonts w:hint="eastAsia" w:asciiTheme="minorEastAsia" w:hAnsiTheme="minorEastAsia" w:eastAsiaTheme="minorEastAsia"/>
          <w:sz w:val="28"/>
          <w:szCs w:val="28"/>
        </w:rPr>
      </w:pPr>
    </w:p>
    <w:p w14:paraId="2FD2CF62">
      <w:pPr>
        <w:spacing w:line="480" w:lineRule="exact"/>
        <w:rPr>
          <w:rFonts w:asciiTheme="minorEastAsia" w:hAnsiTheme="minorEastAsia" w:eastAsiaTheme="minorEastAsia"/>
          <w:sz w:val="28"/>
          <w:szCs w:val="28"/>
        </w:rPr>
      </w:pPr>
    </w:p>
    <w:p w14:paraId="756B9261">
      <w:pPr>
        <w:spacing w:line="480" w:lineRule="exact"/>
        <w:ind w:left="6440" w:hanging="6440" w:hangingChars="23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乙方（盖章）： </w:t>
      </w:r>
    </w:p>
    <w:p w14:paraId="4D42E167">
      <w:pPr>
        <w:spacing w:line="480" w:lineRule="exact"/>
        <w:ind w:left="6440" w:hanging="6440" w:hangingChars="2300"/>
        <w:rPr>
          <w:rFonts w:asciiTheme="minorEastAsia" w:hAnsiTheme="minorEastAsia" w:eastAsiaTheme="minorEastAsia"/>
          <w:sz w:val="28"/>
          <w:szCs w:val="28"/>
        </w:rPr>
      </w:pPr>
    </w:p>
    <w:p w14:paraId="45803065">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法定代表人或授权代表人：</w:t>
      </w:r>
    </w:p>
    <w:p w14:paraId="31C92026">
      <w:pPr>
        <w:spacing w:line="480" w:lineRule="exact"/>
        <w:rPr>
          <w:rFonts w:asciiTheme="minorEastAsia" w:hAnsiTheme="minorEastAsia" w:eastAsiaTheme="minorEastAsia"/>
          <w:sz w:val="28"/>
          <w:szCs w:val="28"/>
        </w:rPr>
      </w:pPr>
    </w:p>
    <w:p w14:paraId="3639040D">
      <w:pPr>
        <w:spacing w:line="48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签订日期：__________年______月______日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151665"/>
    </w:sdtPr>
    <w:sdtContent>
      <w:sdt>
        <w:sdtPr>
          <w:id w:val="1728636285"/>
        </w:sdtPr>
        <w:sdtContent>
          <w:p w14:paraId="2A1BD03E">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3B1409F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none"/>
      <w:pStyle w:val="2"/>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YTlhY2MwNWU1MDkxZWE2MDk5NjA3YTMyODQyZjMifQ=="/>
  </w:docVars>
  <w:rsids>
    <w:rsidRoot w:val="00DA4845"/>
    <w:rsid w:val="000140EA"/>
    <w:rsid w:val="00015D2E"/>
    <w:rsid w:val="00031B60"/>
    <w:rsid w:val="00073597"/>
    <w:rsid w:val="000F1B8E"/>
    <w:rsid w:val="00112577"/>
    <w:rsid w:val="001150DA"/>
    <w:rsid w:val="00141893"/>
    <w:rsid w:val="001604E6"/>
    <w:rsid w:val="001752D9"/>
    <w:rsid w:val="00181C5F"/>
    <w:rsid w:val="001A09A4"/>
    <w:rsid w:val="001A56BF"/>
    <w:rsid w:val="001B1AD5"/>
    <w:rsid w:val="001E4452"/>
    <w:rsid w:val="00200427"/>
    <w:rsid w:val="00212CB9"/>
    <w:rsid w:val="00222532"/>
    <w:rsid w:val="00224B7D"/>
    <w:rsid w:val="00274A52"/>
    <w:rsid w:val="00294AD1"/>
    <w:rsid w:val="002A42AE"/>
    <w:rsid w:val="002D641E"/>
    <w:rsid w:val="002F38A7"/>
    <w:rsid w:val="0030203F"/>
    <w:rsid w:val="00321237"/>
    <w:rsid w:val="00322A53"/>
    <w:rsid w:val="00370A8D"/>
    <w:rsid w:val="00384482"/>
    <w:rsid w:val="00405B37"/>
    <w:rsid w:val="00442890"/>
    <w:rsid w:val="0046769A"/>
    <w:rsid w:val="00475BF8"/>
    <w:rsid w:val="004B3B82"/>
    <w:rsid w:val="004C2DB9"/>
    <w:rsid w:val="004E5AC1"/>
    <w:rsid w:val="005A2254"/>
    <w:rsid w:val="005D60A6"/>
    <w:rsid w:val="005E75DC"/>
    <w:rsid w:val="00610561"/>
    <w:rsid w:val="006B2A30"/>
    <w:rsid w:val="006D72FA"/>
    <w:rsid w:val="00712C51"/>
    <w:rsid w:val="0071629A"/>
    <w:rsid w:val="007168ED"/>
    <w:rsid w:val="007607A5"/>
    <w:rsid w:val="00782072"/>
    <w:rsid w:val="007A0409"/>
    <w:rsid w:val="007A5FD6"/>
    <w:rsid w:val="007C3506"/>
    <w:rsid w:val="007E1DEE"/>
    <w:rsid w:val="00811588"/>
    <w:rsid w:val="008802BA"/>
    <w:rsid w:val="00900732"/>
    <w:rsid w:val="00912363"/>
    <w:rsid w:val="0094587F"/>
    <w:rsid w:val="009525AE"/>
    <w:rsid w:val="009A089B"/>
    <w:rsid w:val="009A1316"/>
    <w:rsid w:val="009B235B"/>
    <w:rsid w:val="009D7DE6"/>
    <w:rsid w:val="009E0C0E"/>
    <w:rsid w:val="009E6CBD"/>
    <w:rsid w:val="00A216CF"/>
    <w:rsid w:val="00A469B8"/>
    <w:rsid w:val="00A91ABA"/>
    <w:rsid w:val="00AB2A6E"/>
    <w:rsid w:val="00AF4B06"/>
    <w:rsid w:val="00B0105F"/>
    <w:rsid w:val="00B27ADE"/>
    <w:rsid w:val="00B32ED8"/>
    <w:rsid w:val="00B37571"/>
    <w:rsid w:val="00B946BE"/>
    <w:rsid w:val="00BE54A0"/>
    <w:rsid w:val="00BF2678"/>
    <w:rsid w:val="00BF766A"/>
    <w:rsid w:val="00C54A48"/>
    <w:rsid w:val="00C71300"/>
    <w:rsid w:val="00C74E43"/>
    <w:rsid w:val="00C76726"/>
    <w:rsid w:val="00CF7CEB"/>
    <w:rsid w:val="00D07941"/>
    <w:rsid w:val="00DA0CE4"/>
    <w:rsid w:val="00DA184E"/>
    <w:rsid w:val="00DA4845"/>
    <w:rsid w:val="00DF35AB"/>
    <w:rsid w:val="00DF5B64"/>
    <w:rsid w:val="00DF6079"/>
    <w:rsid w:val="00E16254"/>
    <w:rsid w:val="00E22BE0"/>
    <w:rsid w:val="00E304A2"/>
    <w:rsid w:val="00E333C9"/>
    <w:rsid w:val="00E50267"/>
    <w:rsid w:val="00EC2690"/>
    <w:rsid w:val="00F177D3"/>
    <w:rsid w:val="00F336BB"/>
    <w:rsid w:val="00F34E3B"/>
    <w:rsid w:val="00F701D1"/>
    <w:rsid w:val="00FB711E"/>
    <w:rsid w:val="00FC0546"/>
    <w:rsid w:val="00FC107A"/>
    <w:rsid w:val="029869BC"/>
    <w:rsid w:val="05197FEF"/>
    <w:rsid w:val="06435826"/>
    <w:rsid w:val="08172A4E"/>
    <w:rsid w:val="08B21DF2"/>
    <w:rsid w:val="09821039"/>
    <w:rsid w:val="0BE5194A"/>
    <w:rsid w:val="0E067982"/>
    <w:rsid w:val="0FE51F22"/>
    <w:rsid w:val="111E365D"/>
    <w:rsid w:val="13EA5875"/>
    <w:rsid w:val="14D102FB"/>
    <w:rsid w:val="16A10110"/>
    <w:rsid w:val="18C23AE7"/>
    <w:rsid w:val="1A4647B0"/>
    <w:rsid w:val="1EBC7659"/>
    <w:rsid w:val="1FE63E7F"/>
    <w:rsid w:val="201F575C"/>
    <w:rsid w:val="2032640E"/>
    <w:rsid w:val="20377EBD"/>
    <w:rsid w:val="213C5656"/>
    <w:rsid w:val="21A25EC1"/>
    <w:rsid w:val="21DB547D"/>
    <w:rsid w:val="23501D2E"/>
    <w:rsid w:val="26D46713"/>
    <w:rsid w:val="275A520B"/>
    <w:rsid w:val="2B0C2F26"/>
    <w:rsid w:val="2C065E8C"/>
    <w:rsid w:val="2FDC6972"/>
    <w:rsid w:val="308E409F"/>
    <w:rsid w:val="33461947"/>
    <w:rsid w:val="33E939ED"/>
    <w:rsid w:val="34D323D2"/>
    <w:rsid w:val="3A944BB1"/>
    <w:rsid w:val="3C94352C"/>
    <w:rsid w:val="3DBF0712"/>
    <w:rsid w:val="3F654EAC"/>
    <w:rsid w:val="413E130B"/>
    <w:rsid w:val="41807724"/>
    <w:rsid w:val="43E90E47"/>
    <w:rsid w:val="48F57E79"/>
    <w:rsid w:val="48F95687"/>
    <w:rsid w:val="512D29FE"/>
    <w:rsid w:val="54A1356C"/>
    <w:rsid w:val="59160F57"/>
    <w:rsid w:val="599B2830"/>
    <w:rsid w:val="5B1722CB"/>
    <w:rsid w:val="5D8718B0"/>
    <w:rsid w:val="5F2672B2"/>
    <w:rsid w:val="60711908"/>
    <w:rsid w:val="614670DE"/>
    <w:rsid w:val="633A4319"/>
    <w:rsid w:val="64AE7157"/>
    <w:rsid w:val="66931EDF"/>
    <w:rsid w:val="680822C2"/>
    <w:rsid w:val="686F696D"/>
    <w:rsid w:val="6DB43A40"/>
    <w:rsid w:val="70A267A9"/>
    <w:rsid w:val="7225296E"/>
    <w:rsid w:val="72436D99"/>
    <w:rsid w:val="73F86E11"/>
    <w:rsid w:val="78744973"/>
    <w:rsid w:val="7B4D0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numPr>
        <w:ilvl w:val="1"/>
        <w:numId w:val="1"/>
      </w:numPr>
      <w:adjustRightInd w:val="0"/>
      <w:spacing w:before="260" w:after="260" w:line="416" w:lineRule="atLeast"/>
      <w:textAlignment w:val="baseline"/>
      <w:outlineLvl w:val="1"/>
    </w:pPr>
    <w:rPr>
      <w:rFonts w:ascii="Arial" w:hAnsi="Arial" w:eastAsia="黑体"/>
      <w:b/>
      <w:kern w:val="0"/>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4559</Words>
  <Characters>4768</Characters>
  <Lines>35</Lines>
  <Paragraphs>10</Paragraphs>
  <TotalTime>1</TotalTime>
  <ScaleCrop>false</ScaleCrop>
  <LinksUpToDate>false</LinksUpToDate>
  <CharactersWithSpaces>4865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2025-04-23T02:51:00Z</dcterms:created>
  <dc:creator>xielaoshi</dc:creator>
  <cp:lastModifiedBy>hp</cp:lastModifiedBy>
  <dcterms:modified xsi:type="dcterms:W3CDTF">2025-04-27T02:57:17Z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B49D5C4490384F428332AC8F7BE4C9CD_13</vt:lpwstr>
  </property>
  <property fmtid="{D5CDD505-2E9C-101B-9397-08002B2CF9AE}" pid="4" name="KSOTemplateDocerSaveRecord">
    <vt:lpwstr>eyJoZGlkIjoiM2UzMWJjYjZiYzY1YjQxZTFjZGJjOTBmYjM4NWZmNDIiLCJ1c2VySWQiOiIxNjQ2NjQ3NDY3In0=</vt:lpwstr>
  </property>
</Properties>
</file>