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6587">
      <w:pPr>
        <w:spacing w:line="560" w:lineRule="exact"/>
        <w:ind w:firstLine="161" w:firstLineChars="50"/>
        <w:jc w:val="center"/>
        <w:rPr>
          <w:rFonts w:ascii="楷体" w:hAnsi="楷体" w:eastAsia="楷体"/>
          <w:b/>
          <w:bCs/>
          <w:color w:val="000000"/>
          <w:sz w:val="32"/>
          <w:szCs w:val="32"/>
        </w:rPr>
      </w:pPr>
    </w:p>
    <w:p w14:paraId="196B984A">
      <w:pPr>
        <w:spacing w:line="560" w:lineRule="exact"/>
        <w:ind w:firstLine="161" w:firstLineChars="50"/>
        <w:jc w:val="center"/>
        <w:rPr>
          <w:rFonts w:ascii="楷体" w:hAnsi="楷体" w:eastAsia="楷体"/>
          <w:b/>
          <w:bCs/>
          <w:color w:val="000000"/>
          <w:sz w:val="32"/>
          <w:szCs w:val="32"/>
        </w:rPr>
      </w:pPr>
    </w:p>
    <w:p w14:paraId="70964792">
      <w:pPr>
        <w:spacing w:line="560" w:lineRule="exact"/>
        <w:ind w:firstLine="161" w:firstLineChars="50"/>
        <w:jc w:val="center"/>
        <w:rPr>
          <w:rFonts w:ascii="楷体" w:hAnsi="楷体" w:eastAsia="楷体"/>
          <w:b/>
          <w:bCs/>
          <w:color w:val="000000"/>
          <w:sz w:val="32"/>
          <w:szCs w:val="32"/>
        </w:rPr>
      </w:pPr>
    </w:p>
    <w:tbl>
      <w:tblPr>
        <w:tblStyle w:val="6"/>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660"/>
        <w:gridCol w:w="7039"/>
      </w:tblGrid>
      <w:tr w14:paraId="1FB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9699" w:type="dxa"/>
            <w:gridSpan w:val="2"/>
            <w:tcBorders>
              <w:top w:val="nil"/>
              <w:left w:val="nil"/>
              <w:bottom w:val="nil"/>
              <w:right w:val="nil"/>
            </w:tcBorders>
            <w:vAlign w:val="center"/>
          </w:tcPr>
          <w:p w14:paraId="0336450E">
            <w:pPr>
              <w:pStyle w:val="2"/>
              <w:jc w:val="center"/>
              <w:rPr>
                <w:rFonts w:ascii="黑体" w:eastAsia="黑体"/>
                <w:b/>
                <w:color w:val="000000"/>
                <w:sz w:val="52"/>
              </w:rPr>
            </w:pPr>
            <w:r>
              <w:rPr>
                <w:rFonts w:hint="eastAsia" w:ascii="黑体" w:eastAsia="黑体"/>
                <w:b/>
                <w:color w:val="000000"/>
                <w:sz w:val="48"/>
                <w:szCs w:val="48"/>
              </w:rPr>
              <w:t>修缮工程施工</w:t>
            </w:r>
            <w:r>
              <w:rPr>
                <w:rFonts w:hint="eastAsia" w:ascii="黑体" w:eastAsia="黑体"/>
                <w:b/>
                <w:color w:val="000000"/>
                <w:spacing w:val="24"/>
                <w:sz w:val="48"/>
                <w:szCs w:val="48"/>
              </w:rPr>
              <w:t>合同</w:t>
            </w:r>
          </w:p>
        </w:tc>
      </w:tr>
      <w:tr w14:paraId="529A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20" w:hRule="atLeast"/>
          <w:jc w:val="center"/>
        </w:trPr>
        <w:tc>
          <w:tcPr>
            <w:tcW w:w="9699" w:type="dxa"/>
            <w:gridSpan w:val="2"/>
            <w:tcBorders>
              <w:top w:val="nil"/>
              <w:left w:val="nil"/>
              <w:bottom w:val="nil"/>
              <w:right w:val="nil"/>
            </w:tcBorders>
            <w:vAlign w:val="center"/>
          </w:tcPr>
          <w:p w14:paraId="2677FBAD">
            <w:pPr>
              <w:pStyle w:val="2"/>
              <w:spacing w:line="240" w:lineRule="exact"/>
              <w:rPr>
                <w:color w:val="000000"/>
              </w:rPr>
            </w:pPr>
          </w:p>
          <w:p w14:paraId="52C49539">
            <w:pPr>
              <w:pStyle w:val="2"/>
              <w:spacing w:line="240" w:lineRule="exact"/>
              <w:rPr>
                <w:color w:val="000000"/>
              </w:rPr>
            </w:pPr>
          </w:p>
          <w:p w14:paraId="1BAB7B30">
            <w:pPr>
              <w:pStyle w:val="2"/>
              <w:spacing w:line="240" w:lineRule="exact"/>
              <w:jc w:val="center"/>
              <w:rPr>
                <w:color w:val="000000"/>
              </w:rPr>
            </w:pPr>
          </w:p>
          <w:p w14:paraId="2798F064">
            <w:pPr>
              <w:pStyle w:val="2"/>
              <w:spacing w:line="240" w:lineRule="exact"/>
              <w:rPr>
                <w:color w:val="000000"/>
              </w:rPr>
            </w:pPr>
          </w:p>
        </w:tc>
      </w:tr>
      <w:tr w14:paraId="202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660" w:type="dxa"/>
            <w:tcBorders>
              <w:top w:val="nil"/>
              <w:left w:val="nil"/>
              <w:bottom w:val="nil"/>
              <w:right w:val="nil"/>
            </w:tcBorders>
            <w:vAlign w:val="bottom"/>
          </w:tcPr>
          <w:p w14:paraId="1039B41B">
            <w:pPr>
              <w:pStyle w:val="2"/>
              <w:jc w:val="distribute"/>
              <w:rPr>
                <w:rFonts w:ascii="Times New Roman" w:hAnsi="Times New Roman" w:eastAsia="黑体"/>
                <w:b/>
                <w:color w:val="000000"/>
                <w:sz w:val="30"/>
              </w:rPr>
            </w:pPr>
            <w:r>
              <w:rPr>
                <w:rFonts w:hint="eastAsia" w:ascii="Times New Roman" w:hAnsi="Times New Roman" w:eastAsia="黑体"/>
                <w:b/>
                <w:color w:val="000000"/>
                <w:sz w:val="30"/>
              </w:rPr>
              <w:t>项目名称：</w:t>
            </w:r>
          </w:p>
        </w:tc>
        <w:tc>
          <w:tcPr>
            <w:tcW w:w="7039" w:type="dxa"/>
            <w:tcBorders>
              <w:top w:val="nil"/>
              <w:left w:val="nil"/>
              <w:bottom w:val="single" w:color="auto" w:sz="4" w:space="0"/>
              <w:right w:val="nil"/>
            </w:tcBorders>
            <w:vAlign w:val="bottom"/>
          </w:tcPr>
          <w:p w14:paraId="03A6B636">
            <w:pPr>
              <w:rPr>
                <w:rFonts w:ascii="宋体" w:hAnsi="Courier New"/>
                <w:b/>
                <w:color w:val="000000"/>
                <w:sz w:val="28"/>
                <w:szCs w:val="28"/>
              </w:rPr>
            </w:pPr>
            <w:r>
              <w:rPr>
                <w:rFonts w:hint="eastAsia" w:ascii="黑体" w:eastAsia="黑体"/>
                <w:b/>
                <w:color w:val="000000"/>
                <w:sz w:val="28"/>
                <w:szCs w:val="28"/>
              </w:rPr>
              <w:t>上川路校区****工程</w:t>
            </w:r>
          </w:p>
        </w:tc>
      </w:tr>
      <w:tr w14:paraId="604E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660" w:type="dxa"/>
            <w:tcBorders>
              <w:top w:val="nil"/>
              <w:left w:val="nil"/>
              <w:bottom w:val="nil"/>
              <w:right w:val="nil"/>
            </w:tcBorders>
            <w:vAlign w:val="bottom"/>
          </w:tcPr>
          <w:p w14:paraId="137B5F2C">
            <w:pPr>
              <w:pStyle w:val="2"/>
              <w:jc w:val="distribute"/>
              <w:rPr>
                <w:rFonts w:ascii="Times New Roman" w:hAnsi="Times New Roman" w:eastAsia="黑体"/>
                <w:b/>
                <w:color w:val="000000"/>
                <w:sz w:val="30"/>
              </w:rPr>
            </w:pPr>
          </w:p>
          <w:p w14:paraId="5D3C7B8D">
            <w:pPr>
              <w:pStyle w:val="2"/>
              <w:jc w:val="distribute"/>
              <w:rPr>
                <w:rFonts w:ascii="Times New Roman" w:hAnsi="Times New Roman" w:eastAsia="黑体"/>
                <w:b/>
                <w:color w:val="000000"/>
                <w:sz w:val="30"/>
              </w:rPr>
            </w:pPr>
          </w:p>
          <w:p w14:paraId="35957B4B">
            <w:pPr>
              <w:pStyle w:val="2"/>
              <w:jc w:val="distribute"/>
              <w:rPr>
                <w:rFonts w:ascii="Times New Roman" w:hAnsi="Times New Roman" w:eastAsia="黑体"/>
                <w:b/>
                <w:color w:val="000000"/>
                <w:sz w:val="30"/>
              </w:rPr>
            </w:pPr>
            <w:r>
              <w:rPr>
                <w:rFonts w:hint="eastAsia" w:ascii="Times New Roman" w:hAnsi="Times New Roman" w:eastAsia="黑体"/>
                <w:b/>
                <w:color w:val="000000"/>
                <w:sz w:val="30"/>
              </w:rPr>
              <w:t>发包方（甲方）：</w:t>
            </w:r>
          </w:p>
        </w:tc>
        <w:tc>
          <w:tcPr>
            <w:tcW w:w="7039" w:type="dxa"/>
            <w:tcBorders>
              <w:top w:val="nil"/>
              <w:left w:val="nil"/>
              <w:bottom w:val="single" w:color="auto" w:sz="4" w:space="0"/>
              <w:right w:val="nil"/>
            </w:tcBorders>
            <w:vAlign w:val="bottom"/>
          </w:tcPr>
          <w:p w14:paraId="671BF24B">
            <w:pPr>
              <w:rPr>
                <w:rFonts w:hAnsi="宋体"/>
                <w:b/>
                <w:color w:val="000000"/>
                <w:sz w:val="30"/>
              </w:rPr>
            </w:pPr>
            <w:r>
              <w:rPr>
                <w:rFonts w:hint="eastAsia" w:ascii="宋体" w:hAnsi="Courier New"/>
                <w:b/>
                <w:color w:val="000000"/>
                <w:sz w:val="28"/>
                <w:szCs w:val="21"/>
              </w:rPr>
              <w:t>上海立信会计金融学院</w:t>
            </w:r>
          </w:p>
        </w:tc>
      </w:tr>
      <w:tr w14:paraId="3A53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124A811B">
            <w:pPr>
              <w:pStyle w:val="2"/>
              <w:jc w:val="distribute"/>
              <w:rPr>
                <w:rFonts w:ascii="Times New Roman" w:hAnsi="Times New Roman" w:eastAsia="黑体"/>
                <w:b/>
                <w:color w:val="000000"/>
                <w:sz w:val="30"/>
              </w:rPr>
            </w:pPr>
          </w:p>
          <w:p w14:paraId="37E33F82">
            <w:pPr>
              <w:pStyle w:val="2"/>
              <w:jc w:val="distribute"/>
              <w:rPr>
                <w:rFonts w:ascii="Times New Roman" w:hAnsi="Times New Roman" w:eastAsia="黑体"/>
                <w:b/>
                <w:color w:val="000000"/>
                <w:sz w:val="30"/>
              </w:rPr>
            </w:pPr>
          </w:p>
          <w:p w14:paraId="74BCB4DB">
            <w:pPr>
              <w:pStyle w:val="2"/>
              <w:jc w:val="distribute"/>
              <w:rPr>
                <w:rFonts w:ascii="Times New Roman" w:hAnsi="Times New Roman" w:eastAsia="黑体"/>
                <w:b/>
                <w:color w:val="000000"/>
                <w:sz w:val="30"/>
              </w:rPr>
            </w:pPr>
            <w:r>
              <w:rPr>
                <w:rFonts w:hint="eastAsia" w:ascii="Times New Roman" w:hAnsi="Times New Roman" w:eastAsia="黑体"/>
                <w:b/>
                <w:color w:val="000000"/>
                <w:sz w:val="30"/>
              </w:rPr>
              <w:t>承包方（乙方）：</w:t>
            </w:r>
          </w:p>
        </w:tc>
        <w:tc>
          <w:tcPr>
            <w:tcW w:w="7039" w:type="dxa"/>
            <w:tcBorders>
              <w:top w:val="single" w:color="auto" w:sz="4" w:space="0"/>
              <w:left w:val="nil"/>
              <w:bottom w:val="single" w:color="auto" w:sz="4" w:space="0"/>
              <w:right w:val="nil"/>
            </w:tcBorders>
            <w:vAlign w:val="bottom"/>
          </w:tcPr>
          <w:p w14:paraId="5C9C05F7">
            <w:pPr>
              <w:rPr>
                <w:b/>
                <w:color w:val="000000"/>
                <w:sz w:val="28"/>
              </w:rPr>
            </w:pPr>
          </w:p>
        </w:tc>
      </w:tr>
      <w:tr w14:paraId="58A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411E49F6">
            <w:pPr>
              <w:pStyle w:val="2"/>
              <w:jc w:val="center"/>
              <w:rPr>
                <w:rFonts w:ascii="Times New Roman" w:hAnsi="Times New Roman" w:eastAsia="黑体"/>
                <w:b/>
                <w:color w:val="000000"/>
                <w:sz w:val="30"/>
              </w:rPr>
            </w:pPr>
          </w:p>
        </w:tc>
        <w:tc>
          <w:tcPr>
            <w:tcW w:w="7039" w:type="dxa"/>
            <w:tcBorders>
              <w:top w:val="single" w:color="auto" w:sz="4" w:space="0"/>
              <w:left w:val="nil"/>
              <w:bottom w:val="nil"/>
              <w:right w:val="nil"/>
            </w:tcBorders>
            <w:vAlign w:val="bottom"/>
          </w:tcPr>
          <w:p w14:paraId="15091730">
            <w:pPr>
              <w:pStyle w:val="2"/>
              <w:rPr>
                <w:b/>
                <w:color w:val="000000"/>
                <w:sz w:val="28"/>
                <w:szCs w:val="28"/>
              </w:rPr>
            </w:pPr>
          </w:p>
        </w:tc>
      </w:tr>
      <w:tr w14:paraId="776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09EC55A8">
            <w:pPr>
              <w:pStyle w:val="2"/>
              <w:jc w:val="center"/>
              <w:rPr>
                <w:rFonts w:ascii="Times New Roman" w:hAnsi="Times New Roman" w:eastAsia="黑体"/>
                <w:b/>
                <w:color w:val="000000"/>
                <w:sz w:val="30"/>
              </w:rPr>
            </w:pPr>
          </w:p>
        </w:tc>
        <w:tc>
          <w:tcPr>
            <w:tcW w:w="7039" w:type="dxa"/>
            <w:tcBorders>
              <w:top w:val="nil"/>
              <w:left w:val="nil"/>
              <w:bottom w:val="nil"/>
              <w:right w:val="nil"/>
            </w:tcBorders>
            <w:vAlign w:val="bottom"/>
          </w:tcPr>
          <w:p w14:paraId="6B5A5196">
            <w:pPr>
              <w:pStyle w:val="2"/>
              <w:rPr>
                <w:b/>
                <w:color w:val="000000"/>
                <w:sz w:val="28"/>
              </w:rPr>
            </w:pPr>
          </w:p>
        </w:tc>
      </w:tr>
    </w:tbl>
    <w:p w14:paraId="2D8252F7">
      <w:pPr>
        <w:spacing w:line="560" w:lineRule="exact"/>
        <w:ind w:firstLine="161" w:firstLineChars="50"/>
        <w:jc w:val="center"/>
        <w:rPr>
          <w:rFonts w:ascii="楷体" w:hAnsi="楷体" w:eastAsia="楷体"/>
          <w:b/>
          <w:bCs/>
          <w:color w:val="000000"/>
          <w:sz w:val="32"/>
          <w:szCs w:val="32"/>
        </w:rPr>
      </w:pPr>
    </w:p>
    <w:p w14:paraId="7AB958C7">
      <w:pPr>
        <w:spacing w:line="560" w:lineRule="exact"/>
        <w:ind w:firstLine="161" w:firstLineChars="50"/>
        <w:jc w:val="center"/>
        <w:rPr>
          <w:rFonts w:ascii="楷体" w:hAnsi="楷体" w:eastAsia="楷体"/>
          <w:b/>
          <w:bCs/>
          <w:color w:val="000000"/>
          <w:sz w:val="32"/>
          <w:szCs w:val="32"/>
        </w:rPr>
      </w:pPr>
    </w:p>
    <w:p w14:paraId="5013691A">
      <w:pPr>
        <w:spacing w:line="560" w:lineRule="exact"/>
        <w:ind w:firstLine="161" w:firstLineChars="50"/>
        <w:jc w:val="center"/>
        <w:rPr>
          <w:rFonts w:ascii="楷体" w:hAnsi="楷体" w:eastAsia="楷体"/>
          <w:b/>
          <w:bCs/>
          <w:color w:val="000000"/>
          <w:sz w:val="32"/>
          <w:szCs w:val="32"/>
        </w:rPr>
      </w:pPr>
    </w:p>
    <w:p w14:paraId="22A1C12A">
      <w:pPr>
        <w:spacing w:line="560" w:lineRule="exact"/>
        <w:ind w:firstLine="161" w:firstLineChars="50"/>
        <w:jc w:val="center"/>
        <w:rPr>
          <w:rFonts w:ascii="楷体" w:hAnsi="楷体" w:eastAsia="楷体"/>
          <w:b/>
          <w:bCs/>
          <w:color w:val="000000"/>
          <w:sz w:val="32"/>
          <w:szCs w:val="32"/>
        </w:rPr>
      </w:pPr>
    </w:p>
    <w:p w14:paraId="77F5D0F1">
      <w:pPr>
        <w:spacing w:line="560" w:lineRule="exact"/>
        <w:ind w:firstLine="161" w:firstLineChars="50"/>
        <w:jc w:val="center"/>
        <w:rPr>
          <w:rFonts w:ascii="楷体" w:hAnsi="楷体" w:eastAsia="楷体"/>
          <w:b/>
          <w:bCs/>
          <w:color w:val="000000"/>
          <w:sz w:val="32"/>
          <w:szCs w:val="32"/>
        </w:rPr>
      </w:pPr>
    </w:p>
    <w:p w14:paraId="3A16991A">
      <w:pPr>
        <w:spacing w:line="560" w:lineRule="exact"/>
        <w:ind w:firstLine="161" w:firstLineChars="50"/>
        <w:jc w:val="center"/>
        <w:rPr>
          <w:rFonts w:ascii="楷体" w:hAnsi="楷体" w:eastAsia="楷体"/>
          <w:b/>
          <w:bCs/>
          <w:color w:val="000000"/>
          <w:sz w:val="32"/>
          <w:szCs w:val="32"/>
        </w:rPr>
      </w:pPr>
    </w:p>
    <w:p w14:paraId="6DFC3978">
      <w:pPr>
        <w:spacing w:line="460" w:lineRule="exact"/>
        <w:ind w:firstLine="161" w:firstLineChars="50"/>
        <w:jc w:val="center"/>
        <w:rPr>
          <w:rFonts w:ascii="楷体" w:hAnsi="楷体" w:eastAsia="楷体"/>
          <w:b/>
          <w:bCs/>
          <w:color w:val="000000"/>
          <w:sz w:val="32"/>
          <w:szCs w:val="32"/>
        </w:rPr>
      </w:pPr>
    </w:p>
    <w:p w14:paraId="64030DDE">
      <w:pPr>
        <w:spacing w:line="480" w:lineRule="exact"/>
        <w:jc w:val="left"/>
        <w:rPr>
          <w:rFonts w:asciiTheme="minorEastAsia" w:hAnsiTheme="minorEastAsia" w:eastAsiaTheme="minorEastAsia"/>
          <w:color w:val="000000"/>
          <w:sz w:val="28"/>
          <w:szCs w:val="28"/>
        </w:rPr>
      </w:pPr>
    </w:p>
    <w:p w14:paraId="1824DEB4">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发包方(以下简称甲方):上海立信会计金融学院</w:t>
      </w:r>
    </w:p>
    <w:p w14:paraId="3CD6D661">
      <w:pPr>
        <w:jc w:val="left"/>
        <w:rPr>
          <w:rFonts w:asciiTheme="minorEastAsia" w:hAnsiTheme="minorEastAsia" w:eastAsiaTheme="minorEastAsia"/>
          <w:color w:val="000000"/>
          <w:sz w:val="28"/>
          <w:szCs w:val="28"/>
        </w:rPr>
      </w:pPr>
    </w:p>
    <w:p w14:paraId="6E630F05">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承包方(以下简称乙方):*</w:t>
      </w:r>
      <w:r>
        <w:rPr>
          <w:rFonts w:asciiTheme="minorEastAsia" w:hAnsiTheme="minorEastAsia" w:eastAsiaTheme="minorEastAsia"/>
          <w:color w:val="000000"/>
          <w:sz w:val="28"/>
          <w:szCs w:val="28"/>
        </w:rPr>
        <w:t>*********</w:t>
      </w:r>
      <w:r>
        <w:rPr>
          <w:rFonts w:hint="eastAsia" w:asciiTheme="minorEastAsia" w:hAnsiTheme="minorEastAsia" w:eastAsiaTheme="minorEastAsia"/>
          <w:sz w:val="28"/>
          <w:szCs w:val="28"/>
        </w:rPr>
        <w:t xml:space="preserve"> </w:t>
      </w:r>
    </w:p>
    <w:p w14:paraId="710D6671">
      <w:pPr>
        <w:jc w:val="left"/>
        <w:rPr>
          <w:rFonts w:asciiTheme="minorEastAsia" w:hAnsiTheme="minorEastAsia" w:eastAsiaTheme="minorEastAsia"/>
          <w:sz w:val="28"/>
          <w:szCs w:val="28"/>
        </w:rPr>
      </w:pPr>
    </w:p>
    <w:p w14:paraId="4AB0C681">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依照《中华人民共和国民法典》及其他有关法律、法规的规定，结合上海立信会计金融学院修缮工程的特点，甲、乙双方在平等自愿、协商一致及《2023-2025年度零星修缮工程及应急抢修工程储备库协议》的基础上，达成如下协议：</w:t>
      </w:r>
    </w:p>
    <w:p w14:paraId="1B733AD0">
      <w:pPr>
        <w:spacing w:line="48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  工程概况</w:t>
      </w:r>
    </w:p>
    <w:p w14:paraId="1AB1B7E3">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1、工程名称：</w:t>
      </w:r>
      <w:r>
        <w:rPr>
          <w:rFonts w:hint="eastAsia" w:asciiTheme="minorEastAsia" w:hAnsiTheme="minorEastAsia" w:eastAsiaTheme="minorEastAsia"/>
          <w:sz w:val="28"/>
          <w:szCs w:val="28"/>
          <w:u w:val="single"/>
        </w:rPr>
        <w:t>上川路校区****工程</w:t>
      </w:r>
    </w:p>
    <w:p w14:paraId="20A15CC2">
      <w:pPr>
        <w:spacing w:line="48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2、工程地点：</w:t>
      </w:r>
      <w:r>
        <w:rPr>
          <w:rFonts w:hint="eastAsia" w:asciiTheme="minorEastAsia" w:hAnsiTheme="minorEastAsia" w:eastAsiaTheme="minorEastAsia"/>
          <w:sz w:val="28"/>
          <w:szCs w:val="28"/>
          <w:u w:val="single"/>
        </w:rPr>
        <w:t>上海立信会计金融学院上川路校区</w:t>
      </w:r>
    </w:p>
    <w:p w14:paraId="4CFC7CA9">
      <w:pPr>
        <w:spacing w:line="48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3、施工部位：</w:t>
      </w:r>
      <w:r>
        <w:rPr>
          <w:rFonts w:hint="eastAsia" w:asciiTheme="minorEastAsia" w:hAnsiTheme="minorEastAsia" w:eastAsiaTheme="minorEastAsia"/>
          <w:sz w:val="28"/>
          <w:szCs w:val="28"/>
          <w:u w:val="single"/>
        </w:rPr>
        <w:t>上川路校区****</w:t>
      </w:r>
    </w:p>
    <w:p w14:paraId="6EB588F0">
      <w:pPr>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二、工程承包方式</w:t>
      </w:r>
    </w:p>
    <w:p w14:paraId="208C807B">
      <w:pPr>
        <w:ind w:firstLine="560" w:firstLineChars="200"/>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sz w:val="28"/>
          <w:szCs w:val="28"/>
        </w:rPr>
        <w:t>1、工程承包内容：</w:t>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w:t>
      </w:r>
      <w:r>
        <w:rPr>
          <w:rFonts w:hint="eastAsia" w:asciiTheme="minorEastAsia" w:hAnsiTheme="minorEastAsia" w:eastAsiaTheme="minorEastAsia"/>
          <w:color w:val="000000" w:themeColor="text1"/>
          <w:sz w:val="28"/>
          <w:szCs w:val="28"/>
          <w:u w:val="single"/>
          <w14:textFill>
            <w14:solidFill>
              <w14:schemeClr w14:val="tx1"/>
            </w14:solidFill>
          </w14:textFill>
        </w:rPr>
        <w:t>等</w:t>
      </w:r>
      <w:r>
        <w:rPr>
          <w:rFonts w:hint="eastAsia" w:asciiTheme="minorEastAsia" w:hAnsiTheme="minorEastAsia" w:eastAsiaTheme="minorEastAsia"/>
          <w:color w:val="000000" w:themeColor="text1"/>
          <w:sz w:val="28"/>
          <w:szCs w:val="28"/>
          <w:u w:val="none"/>
          <w14:textFill>
            <w14:solidFill>
              <w14:schemeClr w14:val="tx1"/>
            </w14:solidFill>
          </w14:textFill>
        </w:rPr>
        <w:t>，</w:t>
      </w:r>
      <w:r>
        <w:rPr>
          <w:rFonts w:hint="eastAsia" w:asciiTheme="minorEastAsia" w:hAnsiTheme="minorEastAsia" w:eastAsiaTheme="minorEastAsia"/>
          <w:sz w:val="28"/>
          <w:szCs w:val="28"/>
        </w:rPr>
        <w:t>详见工程量清单投标报价表。</w:t>
      </w:r>
    </w:p>
    <w:p w14:paraId="6F006ADD">
      <w:pPr>
        <w:spacing w:line="48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2、工程承包方式：</w:t>
      </w:r>
      <w:r>
        <w:rPr>
          <w:rFonts w:hint="eastAsia" w:asciiTheme="minorEastAsia" w:hAnsiTheme="minorEastAsia" w:eastAsiaTheme="minorEastAsia"/>
          <w:sz w:val="28"/>
          <w:szCs w:val="28"/>
          <w:u w:val="single"/>
        </w:rPr>
        <w:t>采取包工包料方式</w:t>
      </w:r>
    </w:p>
    <w:p w14:paraId="1F3491F5">
      <w:pPr>
        <w:spacing w:line="48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三、开竣工日期</w:t>
      </w:r>
    </w:p>
    <w:p w14:paraId="49BC8B6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开工日期以甲方通知为准，总工期</w:t>
      </w:r>
      <w:r>
        <w:rPr>
          <w:rFonts w:asciiTheme="minorEastAsia" w:hAnsiTheme="minorEastAsia" w:eastAsiaTheme="minorEastAsia"/>
          <w:sz w:val="28"/>
          <w:szCs w:val="28"/>
        </w:rPr>
        <w:t>30天</w:t>
      </w:r>
      <w:r>
        <w:rPr>
          <w:rFonts w:hint="eastAsia" w:asciiTheme="minorEastAsia" w:hAnsiTheme="minorEastAsia" w:eastAsiaTheme="minorEastAsia"/>
          <w:sz w:val="28"/>
          <w:szCs w:val="28"/>
        </w:rPr>
        <w:t>。</w:t>
      </w:r>
    </w:p>
    <w:p w14:paraId="3A9AA726">
      <w:pPr>
        <w:spacing w:line="480" w:lineRule="exact"/>
        <w:ind w:firstLine="551" w:firstLineChars="196"/>
        <w:rPr>
          <w:rFonts w:ascii="宋体" w:hAnsi="宋体"/>
          <w:b/>
          <w:sz w:val="28"/>
          <w:szCs w:val="28"/>
        </w:rPr>
      </w:pPr>
      <w:r>
        <w:rPr>
          <w:rFonts w:hint="eastAsia" w:ascii="宋体" w:hAnsi="宋体"/>
          <w:b/>
          <w:sz w:val="28"/>
          <w:szCs w:val="28"/>
        </w:rPr>
        <w:t>四、质量标准</w:t>
      </w:r>
    </w:p>
    <w:p w14:paraId="079EFA61">
      <w:pPr>
        <w:spacing w:line="480" w:lineRule="exact"/>
        <w:ind w:firstLine="560" w:firstLineChars="200"/>
        <w:rPr>
          <w:rFonts w:ascii="宋体" w:hAnsi="宋体"/>
          <w:sz w:val="28"/>
          <w:szCs w:val="28"/>
        </w:rPr>
      </w:pPr>
      <w:r>
        <w:rPr>
          <w:rFonts w:hint="eastAsia" w:ascii="宋体" w:hAnsi="宋体"/>
          <w:sz w:val="28"/>
          <w:szCs w:val="28"/>
        </w:rPr>
        <w:t>工程质量标准：</w:t>
      </w:r>
      <w:r>
        <w:rPr>
          <w:rFonts w:hint="eastAsia" w:asciiTheme="minorEastAsia" w:hAnsiTheme="minorEastAsia" w:eastAsiaTheme="minorEastAsia"/>
          <w:sz w:val="28"/>
          <w:szCs w:val="28"/>
        </w:rPr>
        <w:t>符合国家施工验收规范规定的质量标准。因乙方原因造成工程质量未达到前述标准，甲方有权要求乙方返工直至工程质量达到前述标准为止，并由乙方承担由此增加的费用和（或）延误的工期。</w:t>
      </w:r>
    </w:p>
    <w:p w14:paraId="0AC475F5">
      <w:pPr>
        <w:spacing w:line="480" w:lineRule="exact"/>
        <w:ind w:firstLine="551" w:firstLineChars="196"/>
        <w:rPr>
          <w:rFonts w:asciiTheme="minorEastAsia" w:hAnsiTheme="minorEastAsia" w:eastAsiaTheme="minorEastAsia"/>
          <w:b/>
          <w:sz w:val="28"/>
          <w:szCs w:val="28"/>
        </w:rPr>
      </w:pPr>
      <w:r>
        <w:rPr>
          <w:rFonts w:hint="eastAsia" w:ascii="宋体" w:hAnsi="宋体"/>
          <w:b/>
          <w:sz w:val="28"/>
          <w:szCs w:val="28"/>
        </w:rPr>
        <w:t>五、合同价款</w:t>
      </w:r>
    </w:p>
    <w:p w14:paraId="3197A9A2">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合同金额：本合同工程造价暂定为(人民币)</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元，金额大写：</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（具体金额以甲方竣工审价结果为准）。</w:t>
      </w:r>
    </w:p>
    <w:p w14:paraId="2BDA55D9">
      <w:pPr>
        <w:spacing w:line="480" w:lineRule="exact"/>
        <w:ind w:firstLine="562" w:firstLineChars="200"/>
        <w:rPr>
          <w:rFonts w:ascii="宋体" w:hAnsi="宋体"/>
          <w:b/>
          <w:bCs/>
          <w:color w:val="00B050"/>
          <w:sz w:val="28"/>
          <w:szCs w:val="28"/>
        </w:rPr>
      </w:pPr>
      <w:r>
        <w:rPr>
          <w:rFonts w:hint="eastAsia" w:asciiTheme="minorEastAsia" w:hAnsiTheme="minorEastAsia" w:eastAsiaTheme="minorEastAsia"/>
          <w:b/>
          <w:bCs/>
          <w:sz w:val="28"/>
          <w:szCs w:val="28"/>
        </w:rPr>
        <w:t>六、结算依据</w:t>
      </w:r>
    </w:p>
    <w:p w14:paraId="085EA8BD">
      <w:pPr>
        <w:spacing w:line="480" w:lineRule="exact"/>
        <w:ind w:firstLine="560" w:firstLineChars="200"/>
        <w:rPr>
          <w:rFonts w:cs="宋体" w:asciiTheme="minorEastAsia" w:hAnsiTheme="minorEastAsia"/>
          <w:sz w:val="28"/>
          <w:szCs w:val="28"/>
        </w:rPr>
      </w:pPr>
      <w:r>
        <w:rPr>
          <w:rFonts w:hint="eastAsia" w:asciiTheme="minorEastAsia" w:hAnsiTheme="minorEastAsia" w:eastAsiaTheme="minorEastAsia"/>
          <w:sz w:val="28"/>
          <w:szCs w:val="28"/>
        </w:rPr>
        <w:t>1、</w:t>
      </w:r>
      <w:r>
        <w:rPr>
          <w:rFonts w:hint="eastAsia" w:cs="宋体" w:asciiTheme="minorEastAsia" w:hAnsiTheme="minorEastAsia"/>
          <w:sz w:val="28"/>
          <w:szCs w:val="28"/>
        </w:rPr>
        <w:t>工程预（决）算执行《</w:t>
      </w:r>
      <w:r>
        <w:rPr>
          <w:rFonts w:hint="eastAsia" w:asciiTheme="minorEastAsia" w:hAnsiTheme="minorEastAsia"/>
          <w:kern w:val="0"/>
          <w:sz w:val="28"/>
          <w:szCs w:val="28"/>
        </w:rPr>
        <w:t>建设工程工程量清单计价规范》GB50500－2013，消耗量参照《上海市建筑装饰工程预算定额（2016）》、《上海市安装工程预算定额（2016）》、《上海市房屋修缮工程工程预算定额（2016）》、《上海市市政工程预算定额（2016）》等相关规定。</w:t>
      </w:r>
    </w:p>
    <w:p w14:paraId="2A9E20B8">
      <w:pPr>
        <w:spacing w:line="480" w:lineRule="exac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2、工程量结算由审计处委派的审价机构根据竣工图、竣工示意图、结合现场实际情况，按实计算，以现场测量为准</w:t>
      </w:r>
      <w:r>
        <w:rPr>
          <w:rFonts w:hint="eastAsia" w:asciiTheme="minorEastAsia" w:hAnsiTheme="minorEastAsia" w:eastAsiaTheme="minorEastAsia"/>
          <w:sz w:val="28"/>
          <w:szCs w:val="28"/>
          <w:lang w:eastAsia="zh-CN"/>
        </w:rPr>
        <w:t>。</w:t>
      </w:r>
    </w:p>
    <w:p w14:paraId="7E9E032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3、工程款最终</w:t>
      </w:r>
      <w:r>
        <w:rPr>
          <w:rFonts w:hint="eastAsia" w:asciiTheme="minorEastAsia" w:hAnsiTheme="minorEastAsia"/>
          <w:sz w:val="28"/>
          <w:szCs w:val="28"/>
        </w:rPr>
        <w:t>按审定价下浮</w:t>
      </w:r>
      <w:r>
        <w:rPr>
          <w:rFonts w:asciiTheme="minorEastAsia" w:hAnsiTheme="minorEastAsia"/>
          <w:sz w:val="28"/>
          <w:szCs w:val="28"/>
        </w:rPr>
        <w:t>3.68</w:t>
      </w:r>
      <w:r>
        <w:rPr>
          <w:rFonts w:hint="eastAsia" w:asciiTheme="minorEastAsia" w:hAnsiTheme="minorEastAsia"/>
          <w:sz w:val="28"/>
          <w:szCs w:val="28"/>
        </w:rPr>
        <w:t>%结算</w:t>
      </w:r>
      <w:r>
        <w:rPr>
          <w:rFonts w:hint="eastAsia" w:asciiTheme="minorEastAsia" w:hAnsiTheme="minorEastAsia" w:eastAsiaTheme="minorEastAsia"/>
          <w:sz w:val="28"/>
          <w:szCs w:val="28"/>
        </w:rPr>
        <w:t>。</w:t>
      </w:r>
    </w:p>
    <w:p w14:paraId="2118807E">
      <w:pPr>
        <w:spacing w:line="48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七、相关费率标准</w:t>
      </w:r>
    </w:p>
    <w:p w14:paraId="60F5E925">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房屋修缮工程综合费率、建筑装饰综合费率、安装工程综合费率、市政工程综合费率、安全文明措施费、人工费、税后总价下浮率等计算标准按照上海立信会计金融学院2023-2025年度零星修缮工程及应急抢修工程储备库招标相应费率，</w:t>
      </w:r>
      <w:r>
        <w:rPr>
          <w:rFonts w:asciiTheme="minorEastAsia" w:hAnsiTheme="minorEastAsia" w:eastAsiaTheme="minorEastAsia"/>
          <w:sz w:val="28"/>
          <w:szCs w:val="28"/>
        </w:rPr>
        <w:t>具体如下：</w:t>
      </w:r>
    </w:p>
    <w:p w14:paraId="5012297B">
      <w:pPr>
        <w:spacing w:line="480" w:lineRule="exact"/>
        <w:ind w:firstLine="560" w:firstLineChars="200"/>
        <w:rPr>
          <w:rFonts w:asciiTheme="minorEastAsia" w:hAnsiTheme="minorEastAsia" w:eastAsiaTheme="minorEastAsia"/>
          <w:sz w:val="28"/>
          <w:szCs w:val="28"/>
        </w:rPr>
      </w:pPr>
      <w:bookmarkStart w:id="0" w:name="_Hlk25076816"/>
      <w:r>
        <w:rPr>
          <w:rFonts w:hint="eastAsia" w:asciiTheme="minorEastAsia" w:hAnsiTheme="minorEastAsia" w:eastAsiaTheme="minorEastAsia"/>
          <w:sz w:val="28"/>
          <w:szCs w:val="28"/>
        </w:rPr>
        <w:t>a、企业管理费和利润：参照“沪建标定〔2023〕486号”文件计值；</w:t>
      </w:r>
    </w:p>
    <w:p w14:paraId="121814D0">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b、安全文明措施费率：参照“沪建标定〔2023〕486号”文件计值；</w:t>
      </w:r>
    </w:p>
    <w:p w14:paraId="7595E632">
      <w:pPr>
        <w:spacing w:line="48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c、增值税：参照“沪建标定〔2019〕176 号”按9%计取，合同期内如有新的增值税文件按新的增值税文件执行。</w:t>
      </w:r>
    </w:p>
    <w:p w14:paraId="5D50DCA2">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d、垃圾外运费按发车单结算10吨1000元计取，计入税后补差。</w:t>
      </w:r>
    </w:p>
    <w:p w14:paraId="641D9DF7">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如上海市出台相关规定则相应调整。</w:t>
      </w:r>
    </w:p>
    <w:bookmarkEnd w:id="0"/>
    <w:p w14:paraId="61585FCF">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八、合同组成部分</w:t>
      </w:r>
    </w:p>
    <w:p w14:paraId="51F2163C">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1、工程量清单投标报价表（详见合同附件一）</w:t>
      </w:r>
    </w:p>
    <w:p w14:paraId="69D678F7">
      <w:pPr>
        <w:spacing w:line="48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九、甲方责任及义务</w:t>
      </w:r>
    </w:p>
    <w:p w14:paraId="76A372E5">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1、开工三日前要为乙方入场施工创造条件,以不影响施工为原则。</w:t>
      </w:r>
    </w:p>
    <w:p w14:paraId="11D7A0F5">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2、提供施工期间的水源、电源。</w:t>
      </w:r>
    </w:p>
    <w:p w14:paraId="6E4E276D">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3、负责办理学校管理部门开工手续，负责协调乙方与学校各职能部门的关系。</w:t>
      </w:r>
    </w:p>
    <w:p w14:paraId="253B020C">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4、督促乙方遵守学校管理部门的各项规章制度。</w:t>
      </w:r>
    </w:p>
    <w:p w14:paraId="22076EA6">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负责工程质量施工进度的监督,参加工程材料验收\隐蔽工程验收、竣工验收。甲方有权自行或邀请有相关资质和经验的第三方对全部工程内容及其施工工艺、材料和工程设备进行检查和检验。乙方应为检查和检验提供方便，包括到施工现场进行察看和查阅施工原始记录。</w:t>
      </w:r>
    </w:p>
    <w:p w14:paraId="34DF19BA">
      <w:pPr>
        <w:spacing w:line="48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十、乙方责任及义务</w:t>
      </w:r>
    </w:p>
    <w:p w14:paraId="2AD3670D">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1、施工中严格执行施工规范、质量标准、安全操作规程、防火规定、安全、保质、按期完成本合同约定的工程内容。</w:t>
      </w:r>
    </w:p>
    <w:p w14:paraId="6C8334C1">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2、按合同约定的工作内容和进度要求，编制设计、施工的组织和实施计划，保证项目进度计划的实现，并对所有设计、施工作业和施工方法，以及全部工程的完备性和安全可靠性负责。</w:t>
      </w:r>
    </w:p>
    <w:p w14:paraId="3588B9F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3、按法律规定和合同约定采取安全文明施工、职业健康和环境保护措施，办理员工工伤保险等相关保险，确保工程及人员、材料、设备和设施的安全，防止因工程实施造成的人身伤害和财产损失。</w:t>
      </w:r>
    </w:p>
    <w:p w14:paraId="4C6EDCD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乙方签订本合同视为乙方已经对现场和工程实施条件进行查勘，并充分了解工程所在地的气象条件、交通条件以及其他与完成工作有关的其他资料，并已充分了解评估施工现场及周围环境对工程可能产生的影响，自愿承担相应风险与责任。</w:t>
      </w:r>
    </w:p>
    <w:p w14:paraId="6191AC9D">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5、保证乙方及乙方相关工作人员遵守并严格执行上海立信会计金融学院修缮工程管理的有关规定。</w:t>
      </w:r>
    </w:p>
    <w:p w14:paraId="314AE395">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6、不得扰乱学校正常的教学科研秩序及污染环境。</w:t>
      </w:r>
    </w:p>
    <w:p w14:paraId="74B5F60D">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7、保证施工现场的整洁，每日完工后清扫施工现场。</w:t>
      </w:r>
    </w:p>
    <w:p w14:paraId="325F5C6F">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8、验收合格后10天内提交完整结算资料。</w:t>
      </w:r>
    </w:p>
    <w:p w14:paraId="56A045A8">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未经甲方同意，乙方不得分包或转包。若乙方未经甲方同意即自行分包或转包，甲方有权解除本合同，要求乙方退场并要求乙方每延误一日向甲方支付本合同工程造价金额2%的违约金（自乙方进场之日至退场之日）。</w:t>
      </w:r>
    </w:p>
    <w:p w14:paraId="16DD7034">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10、乙方及乙方人员在合同履行过程中如出现人身、财产损害或造成第三方损害，应由乙方自行承担责任。</w:t>
      </w:r>
    </w:p>
    <w:p w14:paraId="54167F4B">
      <w:pPr>
        <w:spacing w:line="48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十一、材料供应</w:t>
      </w:r>
    </w:p>
    <w:p w14:paraId="4EA76CE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1、乙方对施工过程中使用的全部材料负责，须提供合格证、质保书等资料随时接受甲方检查。乙方在材料、设备到施工现场前通知甲方。双方就材料、设备质量、环保标准共同验收，由甲方确认备案。</w:t>
      </w:r>
    </w:p>
    <w:p w14:paraId="45A0A470">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因乙方提供的材料和工程设备不符合国家强制性标准、规范的规定或合同约定的标准、规范，所造成的质量缺陷，由乙方自费修复。在履行合同过程中，由于国家新颁布的强制性标准、规范，造成乙方负责提供的材料和工程设备，虽符合合同约定的标准，但不符合新颁布的强制性标准时，由乙方负责修复或重新订货，相关费用支出及导致的工期延长由乙方负责。</w:t>
      </w:r>
    </w:p>
    <w:p w14:paraId="4BBD9DDA">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3、施工期间，乙方提供的材料和工程设备由乙方妥善保管，保管费用由乙方承担。</w:t>
      </w:r>
    </w:p>
    <w:p w14:paraId="3FE61F0A">
      <w:pPr>
        <w:spacing w:line="48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十二、工期延误</w:t>
      </w:r>
    </w:p>
    <w:p w14:paraId="727E6550">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因乙方责任不能按期完工的，工期不顺延；因乙方原因造成工程质量存在问题的返工费用由乙方承担，工期不顺延。</w:t>
      </w:r>
    </w:p>
    <w:p w14:paraId="6AAAC88D">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对以下原因造成竣工的日期延误，经甲方确认，工期应当顺延：不可抗力；甲方未按合同约定完成其应当负责的工作而影响工期的。</w:t>
      </w:r>
    </w:p>
    <w:p w14:paraId="262A54AE">
      <w:pPr>
        <w:spacing w:line="48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十三、工程开工、竣工及保修期</w:t>
      </w:r>
    </w:p>
    <w:p w14:paraId="77193CEF">
      <w:pPr>
        <w:spacing w:line="48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1、开工：甲乙双方通过确定方案、合同签订、工程技术交底等前期工作完成后，材料、施工人员到达施工现场开始运作视为开工</w:t>
      </w:r>
      <w:r>
        <w:rPr>
          <w:rFonts w:hint="eastAsia" w:asciiTheme="minorEastAsia" w:hAnsiTheme="minorEastAsia" w:eastAsiaTheme="minorEastAsia"/>
          <w:sz w:val="28"/>
          <w:szCs w:val="28"/>
          <w:lang w:eastAsia="zh-CN"/>
        </w:rPr>
        <w:t>。</w:t>
      </w:r>
    </w:p>
    <w:p w14:paraId="0781B0AF">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2、竣工验收前，乙方负责保护工程成品和工程现场的全部安全。</w:t>
      </w:r>
    </w:p>
    <w:p w14:paraId="276AE1B0">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程完工后，乙方应通知甲方验收，甲方自接到竣工验收通知单后七日内组织验收。验收参与方共同签字盖章视为验收合格，双方办理移交手续。验收不合格的，甲方有权要求乙方对不合格工程返工、修复或采取其他补救措施，由此增加的费用和（或）延误的工期由乙方承担。乙方在完成不合格工程的返工、修复或采取其他补救措施后，应重新提交竣工验收通知单，重新进行验收。</w:t>
      </w:r>
    </w:p>
    <w:p w14:paraId="58B01B9C">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由于乙方的原因，未能按项目进度计划完成工作，乙方应采取措施加快进度，并承担加快进度所增加的费用。由于乙方原因造成工期延误并导致逾期竣工的，乙方应自逾期之日向甲方支付本合同工程造价金额2%的逾期竣工违约金。乙方支付逾期竣工违约金，不免除乙方完成工作及修补缺陷的义务，且甲方有权从竣工结算款或约定提交的履约担保中扣除相当于逾期竣工违约金的金额。</w:t>
      </w:r>
    </w:p>
    <w:p w14:paraId="5B14BA88">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rPr>
        <w:t>若验收合格，乙方竣工退场。乙方应对施工现场进行清理，并撤离相关人员，使得施工现场处于以下状态，直至甲方检验合格：</w:t>
      </w:r>
    </w:p>
    <w:p w14:paraId="6C8A88EF">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（1）施工现场内残留的垃圾已全部清除出场，场地已进行清理、平整或复原；</w:t>
      </w:r>
    </w:p>
    <w:p w14:paraId="60FA970F">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（2）按合同约定应撤离的人员、乙方提供的施工设备和剩余的材料，包括废弃的施工设备和材料，已按计划撤离施工现场；</w:t>
      </w:r>
    </w:p>
    <w:p w14:paraId="2947AE00">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（3）施工现场其他竣工退场工作已全部完成。</w:t>
      </w:r>
    </w:p>
    <w:p w14:paraId="43716D2C">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施工现场的竣工退场费用由乙方承担。乙方应在合同约定的期限内完成竣工退场，逾期未完成的，甲方有权出售或另行处理乙方遗留的物品，由此支出的费用由乙方承担，甲方出售乙方遗留物品所得款项在扣除必要费用后应返还乙方。</w:t>
      </w:r>
    </w:p>
    <w:p w14:paraId="3648B269">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、一般工程保修期为两年（防水工程或含防水分项的一般工程保修期为五年），自本工程验收合格双方签字之日起计。</w:t>
      </w:r>
    </w:p>
    <w:p w14:paraId="426A94F9">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、在工程移交甲方后，因乙方原因产生的质量缺陷，乙方应承担质量缺陷责任和保修义务。</w:t>
      </w:r>
    </w:p>
    <w:p w14:paraId="75E85A6C">
      <w:pPr>
        <w:adjustRightInd w:val="0"/>
        <w:snapToGrid w:val="0"/>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在保修期内，甲方在使用过程中，发现已接收的工程存在缺陷或损坏的，应通知乙方予以修复，乙方应在24小时内完成修复工作；经甲方催告后乙方仍未修复的，甲方有权自行修复或委托第三方修复，所需费用由乙方承担。</w:t>
      </w:r>
    </w:p>
    <w:p w14:paraId="30D5D0CE">
      <w:pPr>
        <w:spacing w:line="48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十四、工程款支付方式</w:t>
      </w:r>
    </w:p>
    <w:p w14:paraId="0D1C5616">
      <w:pPr>
        <w:adjustRightInd w:val="0"/>
        <w:snapToGrid w:val="0"/>
        <w:spacing w:line="440" w:lineRule="exact"/>
        <w:ind w:firstLine="560" w:firstLineChars="200"/>
        <w:rPr>
          <w:rFonts w:ascii="宋体" w:hAnsi="宋体" w:cs="仿宋"/>
          <w:sz w:val="28"/>
          <w:szCs w:val="28"/>
        </w:rPr>
      </w:pPr>
      <w:r>
        <w:rPr>
          <w:rFonts w:hint="eastAsia" w:cs="仿宋" w:asciiTheme="minorEastAsia" w:hAnsiTheme="minorEastAsia" w:eastAsiaTheme="minorEastAsia"/>
          <w:sz w:val="28"/>
          <w:szCs w:val="28"/>
        </w:rPr>
        <w:t>1、</w:t>
      </w:r>
      <w:r>
        <w:rPr>
          <w:rFonts w:hint="eastAsia" w:asciiTheme="minorEastAsia" w:hAnsiTheme="minorEastAsia" w:eastAsiaTheme="minorEastAsia"/>
          <w:sz w:val="28"/>
          <w:szCs w:val="28"/>
        </w:rPr>
        <w:t>工程竣工验收合格，</w:t>
      </w:r>
      <w:r>
        <w:rPr>
          <w:rFonts w:hint="eastAsia" w:ascii="宋体" w:hAnsi="宋体" w:cs="仿宋"/>
          <w:sz w:val="28"/>
          <w:szCs w:val="28"/>
        </w:rPr>
        <w:t>临时设施场地全部清场，</w:t>
      </w:r>
      <w:r>
        <w:rPr>
          <w:rFonts w:hint="eastAsia" w:cs="仿宋" w:asciiTheme="minorEastAsia" w:hAnsiTheme="minorEastAsia" w:eastAsiaTheme="minorEastAsia"/>
          <w:sz w:val="28"/>
          <w:szCs w:val="28"/>
        </w:rPr>
        <w:t>且使用单位签署竣工验收单，</w:t>
      </w:r>
      <w:r>
        <w:rPr>
          <w:rFonts w:hint="eastAsia" w:ascii="宋体" w:hAnsi="宋体" w:cs="仿宋"/>
          <w:sz w:val="28"/>
          <w:szCs w:val="28"/>
        </w:rPr>
        <w:t>竣工结算审价结束并提交完整的竣工档</w:t>
      </w:r>
      <w:r>
        <w:rPr>
          <w:rFonts w:hint="eastAsia" w:cs="仿宋" w:asciiTheme="minorEastAsia" w:hAnsiTheme="minorEastAsia" w:eastAsiaTheme="minorEastAsia"/>
          <w:sz w:val="28"/>
          <w:szCs w:val="28"/>
        </w:rPr>
        <w:t>案资料，乙方先行支付</w:t>
      </w:r>
      <w:r>
        <w:rPr>
          <w:rFonts w:hint="eastAsia" w:ascii="宋体" w:hAnsi="宋体" w:cs="仿宋"/>
          <w:sz w:val="28"/>
          <w:szCs w:val="28"/>
        </w:rPr>
        <w:t>工程结算价的3%作为工程质保金。</w:t>
      </w:r>
      <w:r>
        <w:rPr>
          <w:rFonts w:hint="eastAsia" w:asciiTheme="minorEastAsia" w:hAnsiTheme="minorEastAsia" w:eastAsiaTheme="minorEastAsia"/>
          <w:sz w:val="28"/>
          <w:szCs w:val="28"/>
        </w:rPr>
        <w:t>甲方收到工程质保金后1</w:t>
      </w:r>
      <w:r>
        <w:rPr>
          <w:rFonts w:asciiTheme="minorEastAsia" w:hAnsiTheme="minorEastAsia" w:eastAsiaTheme="minorEastAsia"/>
          <w:sz w:val="28"/>
          <w:szCs w:val="28"/>
        </w:rPr>
        <w:t>0</w:t>
      </w:r>
      <w:r>
        <w:rPr>
          <w:rFonts w:hint="eastAsia" w:asciiTheme="minorEastAsia" w:hAnsiTheme="minorEastAsia" w:eastAsiaTheme="minorEastAsia"/>
          <w:sz w:val="28"/>
          <w:szCs w:val="28"/>
        </w:rPr>
        <w:t>个工作日内，付至工程结算价的100%。</w:t>
      </w:r>
    </w:p>
    <w:p w14:paraId="495FA790">
      <w:pPr>
        <w:adjustRightInd w:val="0"/>
        <w:snapToGrid w:val="0"/>
        <w:spacing w:line="440" w:lineRule="exact"/>
        <w:ind w:firstLine="560" w:firstLineChars="200"/>
        <w:rPr>
          <w:rFonts w:ascii="宋体" w:hAnsi="宋体" w:cs="仿宋"/>
          <w:sz w:val="28"/>
          <w:szCs w:val="28"/>
        </w:rPr>
      </w:pPr>
      <w:r>
        <w:rPr>
          <w:rFonts w:hint="eastAsia" w:cs="仿宋" w:asciiTheme="minorEastAsia" w:hAnsiTheme="minorEastAsia" w:eastAsiaTheme="minorEastAsia"/>
          <w:sz w:val="28"/>
          <w:szCs w:val="28"/>
        </w:rPr>
        <w:t>2、</w:t>
      </w:r>
      <w:r>
        <w:rPr>
          <w:rFonts w:hint="eastAsia" w:asciiTheme="minorEastAsia" w:hAnsiTheme="minorEastAsia" w:eastAsiaTheme="minorEastAsia"/>
          <w:sz w:val="28"/>
          <w:szCs w:val="28"/>
        </w:rPr>
        <w:t>保修期满后，甲方一次性无息返还全额工程质保金给乙方</w:t>
      </w:r>
      <w:r>
        <w:rPr>
          <w:rFonts w:hint="eastAsia" w:ascii="宋体" w:hAnsi="宋体" w:cs="仿宋"/>
          <w:sz w:val="28"/>
          <w:szCs w:val="28"/>
        </w:rPr>
        <w:t>。</w:t>
      </w:r>
    </w:p>
    <w:p w14:paraId="58B29574">
      <w:pPr>
        <w:adjustRightInd w:val="0"/>
        <w:snapToGrid w:val="0"/>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双方收付款账号信息如下：</w:t>
      </w:r>
    </w:p>
    <w:p w14:paraId="03AD4A9C">
      <w:pPr>
        <w:adjustRightInd w:val="0"/>
        <w:snapToGrid w:val="0"/>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（1）甲方单位名称：上海立信会计金融学院</w:t>
      </w:r>
    </w:p>
    <w:p w14:paraId="609BF714">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地址：上海市浦东新区上川路9</w:t>
      </w:r>
      <w:r>
        <w:rPr>
          <w:rFonts w:asciiTheme="minorEastAsia" w:hAnsiTheme="minorEastAsia" w:eastAsiaTheme="minorEastAsia"/>
          <w:sz w:val="28"/>
          <w:szCs w:val="28"/>
        </w:rPr>
        <w:t>95</w:t>
      </w:r>
      <w:r>
        <w:rPr>
          <w:rFonts w:hint="eastAsia" w:asciiTheme="minorEastAsia" w:hAnsiTheme="minorEastAsia" w:eastAsiaTheme="minorEastAsia"/>
          <w:sz w:val="28"/>
          <w:szCs w:val="28"/>
        </w:rPr>
        <w:t>号</w:t>
      </w:r>
    </w:p>
    <w:p w14:paraId="4AA36FB5">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税号（社会信用统一代码）：1</w:t>
      </w:r>
      <w:r>
        <w:rPr>
          <w:rFonts w:asciiTheme="minorEastAsia" w:hAnsiTheme="minorEastAsia" w:eastAsiaTheme="minorEastAsia"/>
          <w:sz w:val="28"/>
          <w:szCs w:val="28"/>
        </w:rPr>
        <w:t>2310000MB2F01828Q</w:t>
      </w:r>
    </w:p>
    <w:p w14:paraId="60C75667">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开户行：中国农业行上海市浦东大道支行</w:t>
      </w:r>
    </w:p>
    <w:p w14:paraId="2830EAE4">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账号：0</w:t>
      </w:r>
      <w:r>
        <w:rPr>
          <w:rFonts w:asciiTheme="minorEastAsia" w:hAnsiTheme="minorEastAsia" w:eastAsiaTheme="minorEastAsia"/>
          <w:sz w:val="28"/>
          <w:szCs w:val="28"/>
        </w:rPr>
        <w:t>3322500040006068</w:t>
      </w:r>
    </w:p>
    <w:p w14:paraId="4EE3A7FF">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银行联行号：1</w:t>
      </w:r>
      <w:r>
        <w:rPr>
          <w:rFonts w:asciiTheme="minorEastAsia" w:hAnsiTheme="minorEastAsia" w:eastAsiaTheme="minorEastAsia"/>
          <w:sz w:val="28"/>
          <w:szCs w:val="28"/>
        </w:rPr>
        <w:t>03290076039</w:t>
      </w:r>
    </w:p>
    <w:p w14:paraId="71ED9C89">
      <w:pPr>
        <w:adjustRightInd w:val="0"/>
        <w:snapToGrid w:val="0"/>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（2）乙方单位名称： </w:t>
      </w:r>
    </w:p>
    <w:p w14:paraId="65EF8F95">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p w14:paraId="3789B86B">
      <w:pPr>
        <w:adjustRightInd w:val="0"/>
        <w:snapToGrid w:val="0"/>
        <w:spacing w:line="440" w:lineRule="exact"/>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 xml:space="preserve">开户行： </w:t>
      </w:r>
    </w:p>
    <w:p w14:paraId="3A0E25CD">
      <w:pPr>
        <w:adjustRightInd w:val="0"/>
        <w:snapToGrid w:val="0"/>
        <w:spacing w:line="440" w:lineRule="exact"/>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账号：</w:t>
      </w:r>
    </w:p>
    <w:p w14:paraId="7CEE6E4A">
      <w:pPr>
        <w:adjustRightInd w:val="0"/>
        <w:snapToGrid w:val="0"/>
        <w:spacing w:line="44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税号（社会信用统一代码）</w:t>
      </w:r>
      <w:r>
        <w:rPr>
          <w:rFonts w:asciiTheme="minorEastAsia" w:hAnsiTheme="minorEastAsia" w:eastAsiaTheme="minorEastAsia"/>
          <w:sz w:val="28"/>
          <w:szCs w:val="28"/>
        </w:rPr>
        <w:t>：</w:t>
      </w:r>
    </w:p>
    <w:p w14:paraId="32C4AF45">
      <w:pPr>
        <w:adjustRightInd w:val="0"/>
        <w:snapToGrid w:val="0"/>
        <w:spacing w:line="440" w:lineRule="exact"/>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银行联行号：</w:t>
      </w:r>
    </w:p>
    <w:p w14:paraId="1512608C">
      <w:pPr>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十五、违约责任</w:t>
      </w:r>
    </w:p>
    <w:p w14:paraId="0ED84018">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1、一方当事人未按约定履行合同义务给对方造成损失的，应当承担赔偿责任；因违反有关法律规定受到处罚的，最终责任由责任方承担。</w:t>
      </w:r>
    </w:p>
    <w:p w14:paraId="195BB9A7">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2一方当事人无法继续履行合同的，应当及时通知另一方，并由责任方承担因合同解除而造成的损失。</w:t>
      </w:r>
    </w:p>
    <w:p w14:paraId="3059F1A6">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3、出现下列情形，属于乙方违约：</w:t>
      </w:r>
    </w:p>
    <w:p w14:paraId="44BFAEBB">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（1）因乙方原因导致的乙方文件、实施和竣工的工程不符合法律法规、工程质量验收标准以及合同约定；</w:t>
      </w:r>
    </w:p>
    <w:p w14:paraId="780F78E9">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（2）乙方违反合同约定进行转包或违法分包的；</w:t>
      </w:r>
    </w:p>
    <w:p w14:paraId="55632240">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（3）乙方违反约定采购和使用不合格材料或工程设备；</w:t>
      </w:r>
    </w:p>
    <w:p w14:paraId="14E6C14C">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（4）因乙方原因导致工程质量不符合合同要求的；</w:t>
      </w:r>
    </w:p>
    <w:p w14:paraId="3F5C284B">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（5）乙方未能按项目进度计划及时完成合同约定的工作，造成工期延误；</w:t>
      </w:r>
    </w:p>
    <w:p w14:paraId="019E3AE5">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（6）由于乙方原因未能通过竣工验收的；</w:t>
      </w:r>
    </w:p>
    <w:p w14:paraId="066D3E69">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（7）乙方在保修期内，未能在合理期限进行修复，或拒绝按甲方指示进行修复的；</w:t>
      </w:r>
    </w:p>
    <w:p w14:paraId="044847F5">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（8）乙方明确表示或者以其行为表明不履行合同主要义务的；</w:t>
      </w:r>
    </w:p>
    <w:p w14:paraId="01E47F8C">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发生上述违约情况时，甲方可向乙方发出通知，要求乙方采取有效措施纠正违约行为。乙方应承担因其违约行为而增加的费用和（或）延误的工期，并按合同价款的10%向甲方支付违约金。违约金不足以赔偿甲方损失的，乙方应赔偿甲方全部损失。</w:t>
      </w:r>
    </w:p>
    <w:p w14:paraId="189E7CEB">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4、由于乙方责任延误工期的，每延误一日，乙方支付给甲方本合同工程造价金额2%的违约金。</w:t>
      </w:r>
    </w:p>
    <w:p w14:paraId="443CB84D">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5、由于乙方责任导致工程质量不合格，乙方必须进行彻底返工修理。因返工造成工程的延期交付视同工程延误，按本条第四款的标准支付违约金。</w:t>
      </w:r>
    </w:p>
    <w:p w14:paraId="59204106">
      <w:pPr>
        <w:spacing w:line="48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十六、争议解决方式</w:t>
      </w:r>
    </w:p>
    <w:p w14:paraId="0F2530C3">
      <w:pPr>
        <w:spacing w:line="480" w:lineRule="exact"/>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本合同项下发生的争议，双方应当协商或向第三方申请调解解决，协商或调解解决不成时，向</w:t>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t>上海市浦东新区人民法院起诉。</w:t>
      </w:r>
    </w:p>
    <w:p w14:paraId="2B71C97B">
      <w:pPr>
        <w:numPr>
          <w:ilvl w:val="0"/>
          <w:numId w:val="1"/>
        </w:numPr>
        <w:spacing w:line="480" w:lineRule="exact"/>
        <w:ind w:firstLine="560"/>
        <w:rPr>
          <w:rFonts w:hint="eastAsia"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本合同一式陆份，甲方执肆份，乙方执贰份，经甲乙双方签字(盖章)后生效。</w:t>
      </w:r>
    </w:p>
    <w:p w14:paraId="65B99750">
      <w:pPr>
        <w:widowControl w:val="0"/>
        <w:numPr>
          <w:ilvl w:val="0"/>
          <w:numId w:val="0"/>
        </w:numPr>
        <w:spacing w:line="480" w:lineRule="exact"/>
        <w:jc w:val="both"/>
        <w:rPr>
          <w:rFonts w:hint="eastAsia" w:asciiTheme="minorEastAsia" w:hAnsiTheme="minorEastAsia" w:eastAsiaTheme="minorEastAsia"/>
          <w:sz w:val="28"/>
          <w:szCs w:val="28"/>
        </w:rPr>
      </w:pPr>
    </w:p>
    <w:p w14:paraId="40988EB1">
      <w:pPr>
        <w:widowControl w:val="0"/>
        <w:numPr>
          <w:ilvl w:val="0"/>
          <w:numId w:val="0"/>
        </w:numPr>
        <w:spacing w:line="480" w:lineRule="exact"/>
        <w:jc w:val="both"/>
        <w:rPr>
          <w:rFonts w:hint="eastAsia" w:asciiTheme="minorEastAsia" w:hAnsiTheme="minorEastAsia" w:eastAsiaTheme="minorEastAsia"/>
          <w:sz w:val="28"/>
          <w:szCs w:val="28"/>
        </w:rPr>
      </w:pPr>
    </w:p>
    <w:p w14:paraId="6546D72C">
      <w:pPr>
        <w:spacing w:line="480" w:lineRule="exact"/>
        <w:rPr>
          <w:rFonts w:asciiTheme="minorEastAsia" w:hAnsiTheme="minorEastAsia" w:eastAsiaTheme="minorEastAsia"/>
          <w:sz w:val="28"/>
          <w:szCs w:val="28"/>
        </w:rPr>
      </w:pPr>
      <w:bookmarkStart w:id="1" w:name="_GoBack"/>
      <w:bookmarkEnd w:id="1"/>
    </w:p>
    <w:p w14:paraId="482CC4D7">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甲方(盖章)：上海立信会计金融学院               </w:t>
      </w:r>
    </w:p>
    <w:p w14:paraId="64EA37BB">
      <w:pPr>
        <w:spacing w:line="480" w:lineRule="exact"/>
        <w:rPr>
          <w:rFonts w:asciiTheme="minorEastAsia" w:hAnsiTheme="minorEastAsia" w:eastAsiaTheme="minorEastAsia"/>
          <w:sz w:val="28"/>
          <w:szCs w:val="28"/>
        </w:rPr>
      </w:pPr>
    </w:p>
    <w:p w14:paraId="41980A7A">
      <w:pPr>
        <w:spacing w:line="48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法定代表人或授权代表人：</w:t>
      </w:r>
    </w:p>
    <w:p w14:paraId="09C277D8">
      <w:pPr>
        <w:spacing w:line="480" w:lineRule="exact"/>
        <w:rPr>
          <w:rFonts w:hint="eastAsia" w:asciiTheme="minorEastAsia" w:hAnsiTheme="minorEastAsia" w:eastAsiaTheme="minorEastAsia"/>
          <w:sz w:val="28"/>
          <w:szCs w:val="28"/>
        </w:rPr>
      </w:pPr>
    </w:p>
    <w:p w14:paraId="2FD2CF62">
      <w:pPr>
        <w:spacing w:line="480" w:lineRule="exact"/>
        <w:rPr>
          <w:rFonts w:asciiTheme="minorEastAsia" w:hAnsiTheme="minorEastAsia" w:eastAsiaTheme="minorEastAsia"/>
          <w:sz w:val="28"/>
          <w:szCs w:val="28"/>
        </w:rPr>
      </w:pPr>
    </w:p>
    <w:p w14:paraId="756B9261">
      <w:pPr>
        <w:spacing w:line="480" w:lineRule="exact"/>
        <w:ind w:left="6440" w:hanging="6440" w:hangingChars="23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乙方（盖章）： </w:t>
      </w:r>
    </w:p>
    <w:p w14:paraId="4D42E167">
      <w:pPr>
        <w:spacing w:line="480" w:lineRule="exact"/>
        <w:ind w:left="6440" w:hanging="6440" w:hangingChars="2300"/>
        <w:rPr>
          <w:rFonts w:asciiTheme="minorEastAsia" w:hAnsiTheme="minorEastAsia" w:eastAsiaTheme="minorEastAsia"/>
          <w:sz w:val="28"/>
          <w:szCs w:val="28"/>
        </w:rPr>
      </w:pPr>
    </w:p>
    <w:p w14:paraId="45803065">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法定代表人或授权代表人：</w:t>
      </w:r>
    </w:p>
    <w:p w14:paraId="31C92026">
      <w:pPr>
        <w:spacing w:line="480" w:lineRule="exact"/>
        <w:rPr>
          <w:rFonts w:asciiTheme="minorEastAsia" w:hAnsiTheme="minorEastAsia" w:eastAsiaTheme="minorEastAsia"/>
          <w:sz w:val="28"/>
          <w:szCs w:val="28"/>
        </w:rPr>
      </w:pPr>
    </w:p>
    <w:p w14:paraId="0F846B2A">
      <w:pPr>
        <w:spacing w:line="48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签订日期：__________年______月______日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068902"/>
      <w:docPartObj>
        <w:docPartGallery w:val="autotext"/>
      </w:docPartObj>
    </w:sdtPr>
    <w:sdtContent>
      <w:sdt>
        <w:sdtPr>
          <w:id w:val="1728636285"/>
          <w:docPartObj>
            <w:docPartGallery w:val="autotext"/>
          </w:docPartObj>
        </w:sdtPr>
        <w:sdtContent>
          <w:p w14:paraId="2637AFE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4D4D7FA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46C54"/>
    <w:multiLevelType w:val="singleLevel"/>
    <w:tmpl w:val="B8746C54"/>
    <w:lvl w:ilvl="0" w:tentative="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TlhY2MwNWU1MDkxZWE2MDk5NjA3YTMyODQyZjMifQ=="/>
  </w:docVars>
  <w:rsids>
    <w:rsidRoot w:val="00DA4845"/>
    <w:rsid w:val="00022DA4"/>
    <w:rsid w:val="000540BE"/>
    <w:rsid w:val="000C5816"/>
    <w:rsid w:val="001234E9"/>
    <w:rsid w:val="00164D3F"/>
    <w:rsid w:val="00171945"/>
    <w:rsid w:val="00181A88"/>
    <w:rsid w:val="001A2345"/>
    <w:rsid w:val="001A56BF"/>
    <w:rsid w:val="001E05EF"/>
    <w:rsid w:val="001E3F34"/>
    <w:rsid w:val="001E4452"/>
    <w:rsid w:val="00264B0A"/>
    <w:rsid w:val="00296498"/>
    <w:rsid w:val="002B282E"/>
    <w:rsid w:val="002B7481"/>
    <w:rsid w:val="002D478A"/>
    <w:rsid w:val="002E04F3"/>
    <w:rsid w:val="00306784"/>
    <w:rsid w:val="003209BB"/>
    <w:rsid w:val="003222B4"/>
    <w:rsid w:val="00340EF9"/>
    <w:rsid w:val="00341FB7"/>
    <w:rsid w:val="003424F4"/>
    <w:rsid w:val="003726FB"/>
    <w:rsid w:val="003802DE"/>
    <w:rsid w:val="003A418D"/>
    <w:rsid w:val="003C5EF6"/>
    <w:rsid w:val="003D04AB"/>
    <w:rsid w:val="003F7413"/>
    <w:rsid w:val="00451475"/>
    <w:rsid w:val="00454764"/>
    <w:rsid w:val="0046769A"/>
    <w:rsid w:val="00476CEE"/>
    <w:rsid w:val="00484087"/>
    <w:rsid w:val="00485DD6"/>
    <w:rsid w:val="004D2817"/>
    <w:rsid w:val="004F0FF4"/>
    <w:rsid w:val="005125A6"/>
    <w:rsid w:val="005537E4"/>
    <w:rsid w:val="0055747C"/>
    <w:rsid w:val="005A70EE"/>
    <w:rsid w:val="005A78AD"/>
    <w:rsid w:val="005B353A"/>
    <w:rsid w:val="005D06E2"/>
    <w:rsid w:val="005E75DC"/>
    <w:rsid w:val="005F7943"/>
    <w:rsid w:val="00610561"/>
    <w:rsid w:val="006106B1"/>
    <w:rsid w:val="00627111"/>
    <w:rsid w:val="00640CA4"/>
    <w:rsid w:val="00644569"/>
    <w:rsid w:val="006536EA"/>
    <w:rsid w:val="00696B77"/>
    <w:rsid w:val="006C0C9F"/>
    <w:rsid w:val="006F6115"/>
    <w:rsid w:val="007156C9"/>
    <w:rsid w:val="00732C21"/>
    <w:rsid w:val="007607A5"/>
    <w:rsid w:val="007959A9"/>
    <w:rsid w:val="007C3ED1"/>
    <w:rsid w:val="00811588"/>
    <w:rsid w:val="00842582"/>
    <w:rsid w:val="00847E38"/>
    <w:rsid w:val="00874F64"/>
    <w:rsid w:val="008802BA"/>
    <w:rsid w:val="00882D73"/>
    <w:rsid w:val="008A074F"/>
    <w:rsid w:val="008A26EE"/>
    <w:rsid w:val="00960C71"/>
    <w:rsid w:val="009720E1"/>
    <w:rsid w:val="009838D1"/>
    <w:rsid w:val="009A1316"/>
    <w:rsid w:val="009D7DE6"/>
    <w:rsid w:val="00A02098"/>
    <w:rsid w:val="00A26653"/>
    <w:rsid w:val="00A44D52"/>
    <w:rsid w:val="00A71D06"/>
    <w:rsid w:val="00AD7FCF"/>
    <w:rsid w:val="00B04977"/>
    <w:rsid w:val="00B37571"/>
    <w:rsid w:val="00B946BE"/>
    <w:rsid w:val="00BB0630"/>
    <w:rsid w:val="00BC5523"/>
    <w:rsid w:val="00BD028D"/>
    <w:rsid w:val="00C15877"/>
    <w:rsid w:val="00C37ABD"/>
    <w:rsid w:val="00C47C25"/>
    <w:rsid w:val="00C6041A"/>
    <w:rsid w:val="00C67624"/>
    <w:rsid w:val="00C85A63"/>
    <w:rsid w:val="00C95A36"/>
    <w:rsid w:val="00CD6B8A"/>
    <w:rsid w:val="00CF7CEB"/>
    <w:rsid w:val="00D07D6A"/>
    <w:rsid w:val="00D47BEB"/>
    <w:rsid w:val="00D91FCA"/>
    <w:rsid w:val="00D952F0"/>
    <w:rsid w:val="00DA4845"/>
    <w:rsid w:val="00DC0FEB"/>
    <w:rsid w:val="00DC1591"/>
    <w:rsid w:val="00DD1D05"/>
    <w:rsid w:val="00DD7378"/>
    <w:rsid w:val="00DE1E64"/>
    <w:rsid w:val="00DE479A"/>
    <w:rsid w:val="00DF3216"/>
    <w:rsid w:val="00E02F6A"/>
    <w:rsid w:val="00E102F2"/>
    <w:rsid w:val="00E22BE0"/>
    <w:rsid w:val="00E24D80"/>
    <w:rsid w:val="00E31018"/>
    <w:rsid w:val="00E82F91"/>
    <w:rsid w:val="00E86A65"/>
    <w:rsid w:val="00EB1CD7"/>
    <w:rsid w:val="00EC2690"/>
    <w:rsid w:val="00EC413C"/>
    <w:rsid w:val="00ED7061"/>
    <w:rsid w:val="00EF7C11"/>
    <w:rsid w:val="00F1308C"/>
    <w:rsid w:val="00F177D3"/>
    <w:rsid w:val="00F336BB"/>
    <w:rsid w:val="00F34E3B"/>
    <w:rsid w:val="00F37262"/>
    <w:rsid w:val="00F3793E"/>
    <w:rsid w:val="00F52FA1"/>
    <w:rsid w:val="00F81E1D"/>
    <w:rsid w:val="00FC1847"/>
    <w:rsid w:val="00FC1CC7"/>
    <w:rsid w:val="02BA2C41"/>
    <w:rsid w:val="032754C2"/>
    <w:rsid w:val="144B011C"/>
    <w:rsid w:val="149E0889"/>
    <w:rsid w:val="1A2667BC"/>
    <w:rsid w:val="1A87445B"/>
    <w:rsid w:val="1D2247B2"/>
    <w:rsid w:val="201F575C"/>
    <w:rsid w:val="20AD0837"/>
    <w:rsid w:val="25CF7159"/>
    <w:rsid w:val="295C7D6C"/>
    <w:rsid w:val="2B2139EE"/>
    <w:rsid w:val="2CBD6164"/>
    <w:rsid w:val="2DFF7E04"/>
    <w:rsid w:val="31285FFC"/>
    <w:rsid w:val="31C751FB"/>
    <w:rsid w:val="32A21D50"/>
    <w:rsid w:val="33461947"/>
    <w:rsid w:val="35513C1C"/>
    <w:rsid w:val="36833F81"/>
    <w:rsid w:val="370028D5"/>
    <w:rsid w:val="381A33BF"/>
    <w:rsid w:val="3C8E7F7F"/>
    <w:rsid w:val="41181B40"/>
    <w:rsid w:val="422C2495"/>
    <w:rsid w:val="42F30E6D"/>
    <w:rsid w:val="434019E2"/>
    <w:rsid w:val="459A638E"/>
    <w:rsid w:val="48B12E21"/>
    <w:rsid w:val="4A6E0EB3"/>
    <w:rsid w:val="4AB64C8C"/>
    <w:rsid w:val="4B276F3B"/>
    <w:rsid w:val="502D2275"/>
    <w:rsid w:val="511C7283"/>
    <w:rsid w:val="53575378"/>
    <w:rsid w:val="5379689F"/>
    <w:rsid w:val="539067D6"/>
    <w:rsid w:val="54A1356C"/>
    <w:rsid w:val="557C60F7"/>
    <w:rsid w:val="5AFF16B3"/>
    <w:rsid w:val="63B2642D"/>
    <w:rsid w:val="706A6586"/>
    <w:rsid w:val="727C69D2"/>
    <w:rsid w:val="729D182D"/>
    <w:rsid w:val="72C64E0E"/>
    <w:rsid w:val="73C94AA2"/>
    <w:rsid w:val="751A5799"/>
    <w:rsid w:val="7672523F"/>
    <w:rsid w:val="7D196373"/>
    <w:rsid w:val="7DE564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1">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4093</Words>
  <Characters>4259</Characters>
  <Lines>31</Lines>
  <Paragraphs>8</Paragraphs>
  <TotalTime>7</TotalTime>
  <ScaleCrop>false</ScaleCrop>
  <LinksUpToDate>false</LinksUpToDate>
  <CharactersWithSpaces>4304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2025-03-20T03:02:00Z</dcterms:created>
  <dc:creator>xielaoshi</dc:creator>
  <cp:lastModifiedBy>hp</cp:lastModifiedBy>
  <cp:lastPrinted>2020-06-29T03:15:00Z</cp:lastPrinted>
  <dcterms:modified xsi:type="dcterms:W3CDTF">2025-04-27T02:45:52Z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1E816D82219C4E82AEC2D25D1A03FB7D_13</vt:lpwstr>
  </property>
  <property fmtid="{D5CDD505-2E9C-101B-9397-08002B2CF9AE}" pid="4" name="KSOTemplateDocerSaveRecord">
    <vt:lpwstr>eyJoZGlkIjoiM2UzMWJjYjZiYzY1YjQxZTFjZGJjOTBmYjM4NWZmNDIiLCJ1c2VySWQiOiIxNjQ2NjQ3NDY3In0=</vt:lpwstr>
  </property>
</Properties>
</file>