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电梯采购需求标准</w:t>
      </w:r>
      <w:bookmarkStart w:id="2" w:name="_GoBack"/>
      <w:bookmarkEnd w:id="2"/>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一、资格条件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投标产品的制造厂家必须具备质量监督部门颁发的相应的《中华人民共和国特种设备制造许可证》或《中华人民共和国特种设备生产许可证（含安装、维修）》，许可子项目包含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本项目所采购电梯对应的类别，许可参数覆盖本项目所采购电梯的主参数。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投标人必须具有质量监督部门颁发的相应的《中华人民共和国特种设备安装改造维修许可证》或《中华人民共和国特种设备生产许可证（含安装、维修）》，许可子项目包含本项目所采购电梯对应的类别，许可参数覆盖本项目所采购电梯的主参数。</w:t>
      </w:r>
    </w:p>
    <w:p>
      <w:pPr>
        <w:spacing w:line="360" w:lineRule="auto"/>
        <w:rPr>
          <w:rFonts w:hint="eastAsia" w:ascii="宋体" w:hAnsi="宋体" w:eastAsia="宋体" w:cs="宋体"/>
          <w:sz w:val="21"/>
          <w:szCs w:val="21"/>
        </w:rPr>
      </w:pP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二、建筑物基本情况（建议提供图纸，电梯详图等）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建筑物地址：</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建筑物状况（待建、成形未装修、建成在用）：</w:t>
      </w:r>
    </w:p>
    <w:p>
      <w:pPr>
        <w:spacing w:line="360" w:lineRule="auto"/>
        <w:rPr>
          <w:rFonts w:hint="eastAsia" w:ascii="宋体" w:hAnsi="宋体" w:eastAsia="宋体" w:cs="宋体"/>
          <w:sz w:val="21"/>
          <w:szCs w:val="21"/>
        </w:rPr>
      </w:pPr>
      <w:r>
        <w:rPr>
          <w:rFonts w:hint="eastAsia" w:ascii="宋体" w:hAnsi="宋体" w:eastAsia="宋体" w:cs="宋体"/>
          <w:sz w:val="21"/>
          <w:szCs w:val="21"/>
        </w:rPr>
        <w:t>（是否需要拆旧；是否需要改造井道；若为既有建筑物外加井道安装电梯，应提供既有建筑物安全鉴定情况及外加井道安装电梯的审批方案）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建筑物抗震设计等级情况：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（四）</w:t>
      </w:r>
      <w:r>
        <w:rPr>
          <w:rFonts w:hint="eastAsia" w:ascii="宋体" w:hAnsi="宋体" w:eastAsia="宋体" w:cs="宋体"/>
          <w:sz w:val="21"/>
          <w:szCs w:val="21"/>
        </w:rPr>
        <w:t>救援特殊要求：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（五）</w:t>
      </w:r>
      <w:r>
        <w:rPr>
          <w:rFonts w:hint="eastAsia" w:ascii="宋体" w:hAnsi="宋体" w:eastAsia="宋体" w:cs="宋体"/>
          <w:sz w:val="21"/>
          <w:szCs w:val="21"/>
        </w:rPr>
        <w:t>建筑物层站情况（楼层数量及地下室情况）：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（六）</w:t>
      </w:r>
      <w:r>
        <w:rPr>
          <w:rFonts w:hint="eastAsia" w:ascii="宋体" w:hAnsi="宋体" w:eastAsia="宋体" w:cs="宋体"/>
          <w:sz w:val="21"/>
          <w:szCs w:val="21"/>
        </w:rPr>
        <w:t>建筑物各楼层层间距；</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（七）</w:t>
      </w:r>
      <w:r>
        <w:rPr>
          <w:rFonts w:hint="eastAsia" w:ascii="宋体" w:hAnsi="宋体" w:eastAsia="宋体" w:cs="宋体"/>
          <w:sz w:val="21"/>
          <w:szCs w:val="21"/>
        </w:rPr>
        <w:t>地面基站设定要求：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（八）</w:t>
      </w:r>
      <w:r>
        <w:rPr>
          <w:rFonts w:hint="eastAsia" w:ascii="宋体" w:hAnsi="宋体" w:eastAsia="宋体" w:cs="宋体"/>
          <w:sz w:val="21"/>
          <w:szCs w:val="21"/>
        </w:rPr>
        <w:t>电梯井道是全封闭或半封闭、透明或不透明等情况：</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lang w:eastAsia="zh-CN"/>
        </w:rPr>
        <w:t>（九）</w:t>
      </w:r>
      <w:r>
        <w:rPr>
          <w:rFonts w:hint="eastAsia" w:ascii="宋体" w:hAnsi="宋体" w:eastAsia="宋体" w:cs="宋体"/>
          <w:color w:val="FF0000"/>
          <w:sz w:val="21"/>
          <w:szCs w:val="21"/>
        </w:rPr>
        <w:t>电源：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说明：（1）拟采购电梯所在建筑物应当已经完成相关图纸审定工作。（2）提供电梯井道或机房平面图。</w:t>
      </w:r>
    </w:p>
    <w:p>
      <w:pPr>
        <w:spacing w:line="360" w:lineRule="auto"/>
        <w:rPr>
          <w:rFonts w:hint="eastAsia" w:ascii="宋体" w:hAnsi="宋体" w:eastAsia="宋体" w:cs="宋体"/>
          <w:sz w:val="21"/>
          <w:szCs w:val="21"/>
        </w:rPr>
      </w:pPr>
    </w:p>
    <w:p>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sz w:val="21"/>
          <w:szCs w:val="21"/>
        </w:rPr>
        <w:t>三、执行规定及标准</w:t>
      </w:r>
      <w:r>
        <w:rPr>
          <w:rFonts w:hint="eastAsia" w:ascii="宋体" w:hAnsi="宋体" w:eastAsia="宋体" w:cs="宋体"/>
          <w:b/>
          <w:color w:val="FF0000"/>
          <w:sz w:val="21"/>
          <w:szCs w:val="21"/>
        </w:rPr>
        <w:t>（采购人可根据采购标的进行调整）</w:t>
      </w:r>
    </w:p>
    <w:p>
      <w:pPr>
        <w:spacing w:line="360" w:lineRule="auto"/>
        <w:rPr>
          <w:rFonts w:hint="eastAsia" w:ascii="宋体" w:hAnsi="宋体" w:eastAsia="宋体" w:cs="宋体"/>
          <w:sz w:val="21"/>
          <w:szCs w:val="21"/>
        </w:rPr>
      </w:pPr>
      <w:r>
        <w:rPr>
          <w:rFonts w:hint="eastAsia" w:ascii="宋体" w:hAnsi="宋体" w:eastAsia="宋体" w:cs="宋体"/>
          <w:sz w:val="21"/>
          <w:szCs w:val="21"/>
        </w:rPr>
        <w:t>所提供电梯产品至少应满足以下安全技术规范和国家标准的要求：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一</w:t>
      </w:r>
      <w:r>
        <w:rPr>
          <w:rFonts w:hint="eastAsia" w:ascii="宋体" w:hAnsi="宋体" w:eastAsia="宋体" w:cs="宋体"/>
          <w:sz w:val="21"/>
          <w:szCs w:val="21"/>
        </w:rPr>
        <w:t>）TSG T7001-2023《电梯监督检验和定期检验规则》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二</w:t>
      </w:r>
      <w:r>
        <w:rPr>
          <w:rFonts w:hint="eastAsia" w:ascii="宋体" w:hAnsi="宋体" w:eastAsia="宋体" w:cs="宋体"/>
          <w:sz w:val="21"/>
          <w:szCs w:val="21"/>
        </w:rPr>
        <w:t>）TSG T7008-2023《电梯自行检测规则》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）TSG T7007-2022《电梯型式试验规则》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四</w:t>
      </w:r>
      <w:r>
        <w:rPr>
          <w:rFonts w:hint="eastAsia" w:ascii="宋体" w:hAnsi="宋体" w:eastAsia="宋体" w:cs="宋体"/>
          <w:sz w:val="21"/>
          <w:szCs w:val="21"/>
        </w:rPr>
        <w:t>）GB/T 7588.1-2020《电梯制造与安装安全规范第1部分：乘客电梯和载货电梯》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五</w:t>
      </w:r>
      <w:r>
        <w:rPr>
          <w:rFonts w:hint="eastAsia" w:ascii="宋体" w:hAnsi="宋体" w:eastAsia="宋体" w:cs="宋体"/>
          <w:sz w:val="21"/>
          <w:szCs w:val="21"/>
        </w:rPr>
        <w:t>）GB/T 7588.2-2020《电梯制造与安装安全规范第2部分：电梯部件的设计原则、计算和检验》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六</w:t>
      </w:r>
      <w:r>
        <w:rPr>
          <w:rFonts w:hint="eastAsia" w:ascii="宋体" w:hAnsi="宋体" w:eastAsia="宋体" w:cs="宋体"/>
          <w:sz w:val="21"/>
          <w:szCs w:val="21"/>
        </w:rPr>
        <w:t>）GB/T 10058-2009 《电梯技术条件》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七</w:t>
      </w:r>
      <w:r>
        <w:rPr>
          <w:rFonts w:hint="eastAsia" w:ascii="宋体" w:hAnsi="宋体" w:eastAsia="宋体" w:cs="宋体"/>
          <w:sz w:val="21"/>
          <w:szCs w:val="21"/>
        </w:rPr>
        <w:t>）GB/T 10059-2009 《电梯试验方法》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八</w:t>
      </w:r>
      <w:r>
        <w:rPr>
          <w:rFonts w:hint="eastAsia" w:ascii="宋体" w:hAnsi="宋体" w:eastAsia="宋体" w:cs="宋体"/>
          <w:sz w:val="21"/>
          <w:szCs w:val="21"/>
        </w:rPr>
        <w:t>）GB/T 10060-2011《电梯安装验收规范》</w:t>
      </w:r>
    </w:p>
    <w:p>
      <w:pPr>
        <w:spacing w:line="360" w:lineRule="auto"/>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rPr>
        <w:t>（</w:t>
      </w:r>
      <w:r>
        <w:rPr>
          <w:rFonts w:hint="eastAsia" w:ascii="宋体" w:hAnsi="宋体" w:eastAsia="宋体" w:cs="宋体"/>
          <w:sz w:val="21"/>
          <w:szCs w:val="21"/>
          <w:lang w:eastAsia="zh-CN"/>
        </w:rPr>
        <w:t>九</w:t>
      </w:r>
      <w:r>
        <w:rPr>
          <w:rFonts w:hint="eastAsia" w:ascii="宋体" w:hAnsi="宋体" w:eastAsia="宋体" w:cs="宋体"/>
          <w:sz w:val="21"/>
          <w:szCs w:val="21"/>
        </w:rPr>
        <w:t>）GB55019-2021 《建筑与市政工程无障碍通用规范》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十</w:t>
      </w:r>
      <w:r>
        <w:rPr>
          <w:rFonts w:hint="eastAsia" w:ascii="宋体" w:hAnsi="宋体" w:eastAsia="宋体" w:cs="宋体"/>
          <w:sz w:val="21"/>
          <w:szCs w:val="21"/>
        </w:rPr>
        <w:t>）GB 25194-2010《杂物电梯制造与安装安全规范》（仅杂物电梯适用）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十一</w:t>
      </w:r>
      <w:r>
        <w:rPr>
          <w:rFonts w:hint="eastAsia" w:ascii="宋体" w:hAnsi="宋体" w:eastAsia="宋体" w:cs="宋体"/>
          <w:sz w:val="21"/>
          <w:szCs w:val="21"/>
        </w:rPr>
        <w:t>）GB/T 31094-2014《防爆电梯制造与安装规范》（仅防爆电梯适用）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说明：1.以上标准如有更新，按最新标准执行。2.采购需求未列明的技术要求按标准规范执行；若采购需求提出的要求高于标准规范要求的，则按采购需求所列要求执行。</w:t>
      </w:r>
    </w:p>
    <w:p>
      <w:pPr>
        <w:spacing w:line="360" w:lineRule="auto"/>
        <w:rPr>
          <w:rFonts w:hint="eastAsia" w:ascii="宋体" w:hAnsi="宋体" w:eastAsia="宋体" w:cs="宋体"/>
          <w:sz w:val="21"/>
          <w:szCs w:val="21"/>
        </w:rPr>
      </w:pP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四、采购标的清单</w:t>
      </w:r>
    </w:p>
    <w:tbl>
      <w:tblPr>
        <w:tblStyle w:val="10"/>
        <w:tblW w:w="8028" w:type="dxa"/>
        <w:tblInd w:w="57" w:type="dxa"/>
        <w:tblLayout w:type="autofit"/>
        <w:tblCellMar>
          <w:top w:w="0" w:type="dxa"/>
          <w:left w:w="0" w:type="dxa"/>
          <w:bottom w:w="0" w:type="dxa"/>
          <w:right w:w="0" w:type="dxa"/>
        </w:tblCellMar>
      </w:tblPr>
      <w:tblGrid>
        <w:gridCol w:w="766"/>
        <w:gridCol w:w="617"/>
        <w:gridCol w:w="663"/>
        <w:gridCol w:w="1327"/>
        <w:gridCol w:w="1194"/>
        <w:gridCol w:w="2570"/>
        <w:gridCol w:w="891"/>
      </w:tblGrid>
      <w:tr>
        <w:tblPrEx>
          <w:tblCellMar>
            <w:top w:w="0" w:type="dxa"/>
            <w:left w:w="0" w:type="dxa"/>
            <w:bottom w:w="0" w:type="dxa"/>
            <w:right w:w="0" w:type="dxa"/>
          </w:tblCellMar>
        </w:tblPrEx>
        <w:trPr>
          <w:tblHeader/>
        </w:trPr>
        <w:tc>
          <w:tcPr>
            <w:tcW w:w="766" w:type="dxa"/>
            <w:tcBorders>
              <w:top w:val="single" w:color="auto" w:sz="12" w:space="0"/>
              <w:left w:val="single" w:color="auto" w:sz="12" w:space="0"/>
              <w:bottom w:val="single" w:color="auto" w:sz="8" w:space="0"/>
              <w:right w:val="single" w:color="auto" w:sz="8" w:space="0"/>
            </w:tcBorders>
            <w:tcMar>
              <w:left w:w="57" w:type="dxa"/>
              <w:right w:w="57"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17" w:type="dxa"/>
            <w:tcBorders>
              <w:top w:val="single" w:color="auto" w:sz="12" w:space="0"/>
              <w:left w:val="nil"/>
              <w:bottom w:val="single" w:color="auto" w:sz="8" w:space="0"/>
              <w:right w:val="single" w:color="auto" w:sz="8" w:space="0"/>
            </w:tcBorders>
            <w:tcMar>
              <w:left w:w="57" w:type="dxa"/>
              <w:right w:w="57"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类别</w:t>
            </w:r>
          </w:p>
        </w:tc>
        <w:tc>
          <w:tcPr>
            <w:tcW w:w="663" w:type="dxa"/>
            <w:tcBorders>
              <w:top w:val="single" w:color="auto" w:sz="12" w:space="0"/>
              <w:left w:val="nil"/>
              <w:bottom w:val="single" w:color="auto" w:sz="8" w:space="0"/>
              <w:right w:val="single" w:color="auto" w:sz="8" w:space="0"/>
            </w:tcBorders>
            <w:tcMar>
              <w:left w:w="57" w:type="dxa"/>
              <w:right w:w="57"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327" w:type="dxa"/>
            <w:tcBorders>
              <w:top w:val="single" w:color="auto" w:sz="12" w:space="0"/>
              <w:left w:val="nil"/>
              <w:bottom w:val="single" w:color="auto" w:sz="8" w:space="0"/>
              <w:right w:val="single" w:color="auto" w:sz="8" w:space="0"/>
            </w:tcBorders>
            <w:tcMar>
              <w:left w:w="57" w:type="dxa"/>
              <w:right w:w="57"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额定载重量</w:t>
            </w:r>
          </w:p>
        </w:tc>
        <w:tc>
          <w:tcPr>
            <w:tcW w:w="1194" w:type="dxa"/>
            <w:tcBorders>
              <w:top w:val="single" w:color="auto" w:sz="12" w:space="0"/>
              <w:left w:val="nil"/>
              <w:bottom w:val="single" w:color="auto" w:sz="8" w:space="0"/>
              <w:right w:val="single" w:color="auto" w:sz="8" w:space="0"/>
            </w:tcBorders>
            <w:tcMar>
              <w:left w:w="57" w:type="dxa"/>
              <w:right w:w="57"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额定速度</w:t>
            </w:r>
          </w:p>
        </w:tc>
        <w:tc>
          <w:tcPr>
            <w:tcW w:w="2570" w:type="dxa"/>
            <w:tcBorders>
              <w:top w:val="single" w:color="auto" w:sz="12" w:space="0"/>
              <w:left w:val="nil"/>
              <w:bottom w:val="single" w:color="auto" w:sz="8" w:space="0"/>
              <w:right w:val="single" w:color="auto" w:sz="8" w:space="0"/>
            </w:tcBorders>
            <w:tcMar>
              <w:left w:w="57" w:type="dxa"/>
              <w:right w:w="57"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层 / 站 / 门</w:t>
            </w:r>
          </w:p>
        </w:tc>
        <w:tc>
          <w:tcPr>
            <w:tcW w:w="891" w:type="dxa"/>
            <w:tcBorders>
              <w:top w:val="single" w:color="auto" w:sz="12" w:space="0"/>
              <w:left w:val="nil"/>
              <w:bottom w:val="single" w:color="auto" w:sz="8" w:space="0"/>
              <w:right w:val="single" w:color="auto" w:sz="12" w:space="0"/>
            </w:tcBorders>
            <w:tcMar>
              <w:left w:w="108" w:type="dxa"/>
              <w:right w:w="108" w:type="dxa"/>
            </w:tcMar>
          </w:tcPr>
          <w:p>
            <w:pPr>
              <w:widowControl/>
              <w:wordWrap w:val="0"/>
              <w:rPr>
                <w:rFonts w:hint="eastAsia" w:ascii="宋体" w:hAnsi="宋体" w:eastAsia="宋体" w:cs="宋体"/>
                <w:kern w:val="0"/>
                <w:sz w:val="21"/>
                <w:szCs w:val="21"/>
              </w:rPr>
            </w:pPr>
            <w:r>
              <w:rPr>
                <w:rFonts w:hint="eastAsia" w:ascii="宋体" w:hAnsi="宋体" w:eastAsia="宋体" w:cs="宋体"/>
                <w:kern w:val="0"/>
                <w:sz w:val="21"/>
                <w:szCs w:val="21"/>
              </w:rPr>
              <w:t>备注</w:t>
            </w:r>
          </w:p>
        </w:tc>
      </w:tr>
      <w:tr>
        <w:tblPrEx>
          <w:tblCellMar>
            <w:top w:w="0" w:type="dxa"/>
            <w:left w:w="0" w:type="dxa"/>
            <w:bottom w:w="0" w:type="dxa"/>
            <w:right w:w="0" w:type="dxa"/>
          </w:tblCellMar>
        </w:tblPrEx>
        <w:trPr>
          <w:trHeight w:val="405" w:hRule="atLeast"/>
        </w:trPr>
        <w:tc>
          <w:tcPr>
            <w:tcW w:w="766" w:type="dxa"/>
            <w:tcBorders>
              <w:top w:val="nil"/>
              <w:left w:val="single" w:color="auto" w:sz="12" w:space="0"/>
              <w:bottom w:val="single" w:color="auto" w:sz="8" w:space="0"/>
              <w:right w:val="single" w:color="auto" w:sz="8" w:space="0"/>
            </w:tcBorders>
            <w:tcMar>
              <w:left w:w="108" w:type="dxa"/>
              <w:right w:w="108"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17"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663"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1327"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1194"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2570"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891" w:type="dxa"/>
            <w:tcBorders>
              <w:top w:val="nil"/>
              <w:left w:val="nil"/>
              <w:bottom w:val="single" w:color="auto" w:sz="8" w:space="0"/>
              <w:right w:val="single" w:color="auto" w:sz="12" w:space="0"/>
            </w:tcBorders>
            <w:tcMar>
              <w:left w:w="108" w:type="dxa"/>
              <w:right w:w="108" w:type="dxa"/>
            </w:tcMar>
          </w:tcPr>
          <w:p>
            <w:pPr>
              <w:widowControl/>
              <w:wordWrap w:val="0"/>
              <w:jc w:val="left"/>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05" w:hRule="atLeast"/>
        </w:trPr>
        <w:tc>
          <w:tcPr>
            <w:tcW w:w="766" w:type="dxa"/>
            <w:tcBorders>
              <w:top w:val="nil"/>
              <w:left w:val="single" w:color="auto" w:sz="12" w:space="0"/>
              <w:bottom w:val="single" w:color="auto" w:sz="8" w:space="0"/>
              <w:right w:val="single" w:color="auto" w:sz="8" w:space="0"/>
            </w:tcBorders>
            <w:tcMar>
              <w:left w:w="108" w:type="dxa"/>
              <w:right w:w="108"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17"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663"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1327"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1194"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2570"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891" w:type="dxa"/>
            <w:tcBorders>
              <w:top w:val="nil"/>
              <w:left w:val="nil"/>
              <w:bottom w:val="single" w:color="auto" w:sz="8" w:space="0"/>
              <w:right w:val="single" w:color="auto" w:sz="12" w:space="0"/>
            </w:tcBorders>
            <w:tcMar>
              <w:left w:w="108" w:type="dxa"/>
              <w:right w:w="108" w:type="dxa"/>
            </w:tcMar>
          </w:tcPr>
          <w:p>
            <w:pPr>
              <w:widowControl/>
              <w:wordWrap w:val="0"/>
              <w:jc w:val="left"/>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05" w:hRule="atLeast"/>
        </w:trPr>
        <w:tc>
          <w:tcPr>
            <w:tcW w:w="766" w:type="dxa"/>
            <w:tcBorders>
              <w:top w:val="nil"/>
              <w:left w:val="single" w:color="auto" w:sz="12" w:space="0"/>
              <w:bottom w:val="single" w:color="auto" w:sz="8" w:space="0"/>
              <w:right w:val="single" w:color="auto" w:sz="8" w:space="0"/>
            </w:tcBorders>
            <w:tcMar>
              <w:left w:w="108" w:type="dxa"/>
              <w:right w:w="108"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17"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663"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1327"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1194"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2570" w:type="dxa"/>
            <w:tcBorders>
              <w:top w:val="nil"/>
              <w:left w:val="nil"/>
              <w:bottom w:val="single" w:color="auto" w:sz="8"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891" w:type="dxa"/>
            <w:tcBorders>
              <w:top w:val="nil"/>
              <w:left w:val="nil"/>
              <w:bottom w:val="single" w:color="auto" w:sz="8" w:space="0"/>
              <w:right w:val="single" w:color="auto" w:sz="12" w:space="0"/>
            </w:tcBorders>
            <w:tcMar>
              <w:left w:w="108" w:type="dxa"/>
              <w:right w:w="108" w:type="dxa"/>
            </w:tcMar>
          </w:tcPr>
          <w:p>
            <w:pPr>
              <w:widowControl/>
              <w:wordWrap w:val="0"/>
              <w:jc w:val="left"/>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05" w:hRule="atLeast"/>
        </w:trPr>
        <w:tc>
          <w:tcPr>
            <w:tcW w:w="766" w:type="dxa"/>
            <w:tcBorders>
              <w:top w:val="nil"/>
              <w:left w:val="single" w:color="auto" w:sz="12" w:space="0"/>
              <w:bottom w:val="single" w:color="auto" w:sz="12" w:space="0"/>
              <w:right w:val="single" w:color="auto" w:sz="8" w:space="0"/>
            </w:tcBorders>
            <w:tcMar>
              <w:left w:w="108" w:type="dxa"/>
              <w:right w:w="108" w:type="dxa"/>
            </w:tcMar>
            <w:vAlign w:val="center"/>
          </w:tcPr>
          <w:p>
            <w:pPr>
              <w:widowControl/>
              <w:wordWrap w:val="0"/>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617" w:type="dxa"/>
            <w:tcBorders>
              <w:top w:val="nil"/>
              <w:left w:val="nil"/>
              <w:bottom w:val="single" w:color="auto" w:sz="12"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663" w:type="dxa"/>
            <w:tcBorders>
              <w:top w:val="nil"/>
              <w:left w:val="nil"/>
              <w:bottom w:val="single" w:color="auto" w:sz="12"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1327" w:type="dxa"/>
            <w:tcBorders>
              <w:top w:val="nil"/>
              <w:left w:val="nil"/>
              <w:bottom w:val="single" w:color="auto" w:sz="12"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1194" w:type="dxa"/>
            <w:tcBorders>
              <w:top w:val="nil"/>
              <w:left w:val="nil"/>
              <w:bottom w:val="single" w:color="auto" w:sz="12"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2570" w:type="dxa"/>
            <w:tcBorders>
              <w:top w:val="nil"/>
              <w:left w:val="nil"/>
              <w:bottom w:val="single" w:color="auto" w:sz="12" w:space="0"/>
              <w:right w:val="single" w:color="auto" w:sz="8" w:space="0"/>
            </w:tcBorders>
            <w:tcMar>
              <w:left w:w="108" w:type="dxa"/>
              <w:right w:w="108" w:type="dxa"/>
            </w:tcMar>
            <w:vAlign w:val="center"/>
          </w:tcPr>
          <w:p>
            <w:pPr>
              <w:widowControl/>
              <w:wordWrap w:val="0"/>
              <w:jc w:val="left"/>
              <w:rPr>
                <w:rFonts w:hint="eastAsia" w:ascii="宋体" w:hAnsi="宋体" w:eastAsia="宋体" w:cs="宋体"/>
                <w:kern w:val="0"/>
                <w:sz w:val="21"/>
                <w:szCs w:val="21"/>
              </w:rPr>
            </w:pPr>
          </w:p>
        </w:tc>
        <w:tc>
          <w:tcPr>
            <w:tcW w:w="891" w:type="dxa"/>
            <w:tcBorders>
              <w:top w:val="nil"/>
              <w:left w:val="nil"/>
              <w:bottom w:val="single" w:color="auto" w:sz="12" w:space="0"/>
              <w:right w:val="single" w:color="auto" w:sz="12" w:space="0"/>
            </w:tcBorders>
            <w:tcMar>
              <w:left w:w="108" w:type="dxa"/>
              <w:right w:w="108" w:type="dxa"/>
            </w:tcMar>
          </w:tcPr>
          <w:p>
            <w:pPr>
              <w:widowControl/>
              <w:wordWrap w:val="0"/>
              <w:jc w:val="left"/>
              <w:rPr>
                <w:rFonts w:hint="eastAsia" w:ascii="宋体" w:hAnsi="宋体" w:eastAsia="宋体" w:cs="宋体"/>
                <w:kern w:val="0"/>
                <w:sz w:val="21"/>
                <w:szCs w:val="21"/>
              </w:rPr>
            </w:pPr>
          </w:p>
        </w:tc>
      </w:tr>
    </w:tbl>
    <w:p>
      <w:pPr>
        <w:spacing w:line="360" w:lineRule="auto"/>
        <w:rPr>
          <w:rFonts w:hint="eastAsia" w:ascii="宋体" w:hAnsi="宋体" w:eastAsia="宋体" w:cs="宋体"/>
          <w:sz w:val="21"/>
          <w:szCs w:val="21"/>
        </w:rPr>
      </w:pP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五、土建尺寸、技术参数、功能要求、性能指标、其他要求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按附件Excel表格格式填写</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FF0000"/>
          <w:sz w:val="21"/>
          <w:szCs w:val="21"/>
        </w:rPr>
        <w:t>采购人可根据实际需求对所附表格中具体参数、功能及要求进行调整和增补，也可以根据实际需求调整表中的实质性要求响应项（★）。</w:t>
      </w:r>
    </w:p>
    <w:p>
      <w:pPr>
        <w:spacing w:line="360" w:lineRule="auto"/>
        <w:rPr>
          <w:rFonts w:hint="eastAsia" w:ascii="宋体" w:hAnsi="宋体" w:eastAsia="宋体" w:cs="宋体"/>
          <w:sz w:val="21"/>
          <w:szCs w:val="21"/>
        </w:rPr>
      </w:pP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六、商务要求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一</w:t>
      </w:r>
      <w:r>
        <w:rPr>
          <w:rFonts w:hint="eastAsia" w:ascii="宋体" w:hAnsi="宋体" w:eastAsia="宋体" w:cs="宋体"/>
          <w:sz w:val="21"/>
          <w:szCs w:val="21"/>
        </w:rPr>
        <w:t>）包装和运输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采购人应参照财政部等印发的《商品包装政府采购需求标准（试行）》《快递包装政府采购需求标准（试行）》（财办库〔2020〕123号），明确具体电梯包装要求。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二</w:t>
      </w:r>
      <w:r>
        <w:rPr>
          <w:rFonts w:hint="eastAsia" w:ascii="宋体" w:hAnsi="宋体" w:eastAsia="宋体" w:cs="宋体"/>
          <w:sz w:val="21"/>
          <w:szCs w:val="21"/>
        </w:rPr>
        <w:t>）保险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采购人可以要求供应商结合当地市场监管部门相关政策购买电梯责任保险或其他等同形式的商业保险，并明确保险的受益人。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）出厂检验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供应商所提供的电梯品牌制造单位必须履行电梯出厂检验程序，提供随机附带的配置说明文件。对需要使用密码接入控制器的，应要求其在安装使用维护说明中标明该预设密码。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四</w:t>
      </w:r>
      <w:r>
        <w:rPr>
          <w:rFonts w:hint="eastAsia" w:ascii="宋体" w:hAnsi="宋体" w:eastAsia="宋体" w:cs="宋体"/>
          <w:sz w:val="21"/>
          <w:szCs w:val="21"/>
        </w:rPr>
        <w:t>）到货检验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供应商在货物运抵安装位置后应当履行到货检验手续。到货检验可由采购人（含采购人委托的监理单位）、供应商共同进行，必要时可约定邀请第三方专业检验检测机构参与。检验内容包括对照采购清单及技术要求检查相关品牌证书、装箱清单（含设备的主、附件）、产品配置说明、设备出厂检验报告、整机及安全保护装置型式试验证书等相关文件证书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五</w:t>
      </w:r>
      <w:r>
        <w:rPr>
          <w:rFonts w:hint="eastAsia" w:ascii="宋体" w:hAnsi="宋体" w:eastAsia="宋体" w:cs="宋体"/>
          <w:sz w:val="21"/>
          <w:szCs w:val="21"/>
        </w:rPr>
        <w:t>）安装调试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电梯安装施工过程中，中标供应商应当服从施工总包单位对施工现场安全生产的管理，落实现场安全防护措施，并明确各自的安全责任。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电梯安装施工期间应在电梯口的显著位置设置警示标志和公示牌，并采取必要的防护措施，公示牌载明作业内容、施工期限、施工单位、责任人、联系方式等信息。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中标供应商不得采用更改软件程序、变动硬件设施等技术手段设置技术障碍，影响电梯正常运行。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中标供应商不得以任何形式允许、默许其他单位或者个人将未经检验或者检验不合格的电梯投入使用。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中标供应商应提供必要的技术服务和必需的备品配件，指导并协助解决电梯安装、调试、使用过程中涉及的质量安全问题，并在安装竣工后进行整机验收、出具整机质量证明文件。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六</w:t>
      </w:r>
      <w:r>
        <w:rPr>
          <w:rFonts w:hint="eastAsia" w:ascii="宋体" w:hAnsi="宋体" w:eastAsia="宋体" w:cs="宋体"/>
          <w:sz w:val="21"/>
          <w:szCs w:val="21"/>
        </w:rPr>
        <w:t>）交付检验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中标供应商应提供交付检验服务。招标文件、投标文件、厂家货物技术标准说明及国家有关的质量标准规定均为验收依据。交付检验至少应满足以下要求：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电梯安装调试完毕后，采购人根据招标文件、投标文件、厂家货物技术标准说明等内容进行检查，符合要求后提请特种设备监督检验机构进行监督检验。必要时可约定邀请第三方专业检验检测机构参与。</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电梯安装监督检验须由经核准的特种设备监督检验机构进行，检验合格并完成电梯使用登记手续后方视为完成交付检验。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完成交付检验后，中标供应商应向采购人移交监督检验报告、特种设备使用标志、电梯相关建筑接口符合性声明、配置说明、型式试验证书、电气原理图、整机质量证明文件、安装使用维护保养说明书、应急救援说明、非金属材质部件使用声明（如果有）、未设置人为障碍声明、变更设计证明文件（如果有）、安装自检报告等有关资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七</w:t>
      </w:r>
      <w:r>
        <w:rPr>
          <w:rFonts w:hint="eastAsia" w:ascii="宋体" w:hAnsi="宋体" w:eastAsia="宋体" w:cs="宋体"/>
          <w:sz w:val="21"/>
          <w:szCs w:val="21"/>
        </w:rPr>
        <w:t>）管理及技术支撑能力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投标人应在投标文件中明确项目实施期间的管理人员配置、安装过程管理方案、调试方案、维保及技术支撑方案、类似业绩等。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八</w:t>
      </w:r>
      <w:r>
        <w:rPr>
          <w:rFonts w:hint="eastAsia" w:ascii="宋体" w:hAnsi="宋体" w:eastAsia="宋体" w:cs="宋体"/>
          <w:sz w:val="21"/>
          <w:szCs w:val="21"/>
        </w:rPr>
        <w:t>）售后服务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免费售后维保服务期限</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rPr>
        <w:t>自特种设备检验机构监督检验合格之日起，</w:t>
      </w:r>
      <w:r>
        <w:rPr>
          <w:rFonts w:hint="eastAsia" w:ascii="宋体" w:hAnsi="宋体" w:eastAsia="宋体" w:cs="宋体"/>
          <w:color w:val="FF0000"/>
          <w:sz w:val="21"/>
          <w:szCs w:val="21"/>
        </w:rPr>
        <w:t>整机不低于2年，主要部件和安全保护装置不低于5年。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在质量保证期限内存在质量问题的，中标供应商应当提供免费修理或者更换服务。</w:t>
      </w:r>
    </w:p>
    <w:p>
      <w:pPr>
        <w:spacing w:line="360" w:lineRule="auto"/>
        <w:ind w:firstLine="422" w:firstLineChars="200"/>
        <w:rPr>
          <w:rFonts w:hint="eastAsia" w:ascii="宋体" w:hAnsi="宋体" w:eastAsia="宋体" w:cs="宋体"/>
          <w:color w:val="FF0000"/>
          <w:sz w:val="21"/>
          <w:szCs w:val="21"/>
        </w:rPr>
      </w:pPr>
      <w:r>
        <w:rPr>
          <w:rFonts w:hint="eastAsia" w:ascii="宋体" w:hAnsi="宋体" w:eastAsia="宋体" w:cs="宋体"/>
          <w:b/>
          <w:color w:val="FF0000"/>
          <w:sz w:val="21"/>
          <w:szCs w:val="21"/>
        </w:rPr>
        <w:t>电梯主要部件包括</w:t>
      </w:r>
      <w:r>
        <w:rPr>
          <w:rFonts w:hint="eastAsia" w:ascii="宋体" w:hAnsi="宋体" w:eastAsia="宋体" w:cs="宋体"/>
          <w:color w:val="FF0000"/>
          <w:sz w:val="21"/>
          <w:szCs w:val="21"/>
        </w:rPr>
        <w:t>绳头组合、控制柜、层门、玻璃轿门、玻璃轿壁、驱动主机（适用于曳引与强制驱动电梯）；</w:t>
      </w:r>
    </w:p>
    <w:p>
      <w:pPr>
        <w:spacing w:line="360" w:lineRule="auto"/>
        <w:ind w:firstLine="422" w:firstLineChars="200"/>
        <w:rPr>
          <w:rFonts w:hint="eastAsia" w:ascii="宋体" w:hAnsi="宋体" w:eastAsia="宋体" w:cs="宋体"/>
          <w:color w:val="FF0000"/>
          <w:sz w:val="21"/>
          <w:szCs w:val="21"/>
        </w:rPr>
      </w:pPr>
      <w:r>
        <w:rPr>
          <w:rFonts w:hint="eastAsia" w:ascii="宋体" w:hAnsi="宋体" w:eastAsia="宋体" w:cs="宋体"/>
          <w:b/>
          <w:color w:val="FF0000"/>
          <w:sz w:val="21"/>
          <w:szCs w:val="21"/>
        </w:rPr>
        <w:t>安全保护装置包括</w:t>
      </w:r>
      <w:r>
        <w:rPr>
          <w:rFonts w:hint="eastAsia" w:ascii="宋体" w:hAnsi="宋体" w:eastAsia="宋体" w:cs="宋体"/>
          <w:color w:val="FF0000"/>
          <w:sz w:val="21"/>
          <w:szCs w:val="21"/>
        </w:rPr>
        <w:t>限速器、安全钳、缓冲器、门锁装置、轿厢上行超速保护装置（适用于曳引驱动电梯）、含有电子元件的安全电路、可编程电子安全相关系统、限速切断阀（适用于液压驱动电梯）、轿厢意外移动保护装置（适用于曳引与强制驱动非防爆电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售后服务要求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验收通过后    个月内，现场维护保养应至少由  名持有特种设备作业人员资格证的人员驻场实施。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设立24小时维保值班电话，保证接到故障通知后及时予以排除。</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建立每台电梯的维保记录，及时记录电梯的维保、故障等情况。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接到电梯困人故障报告后，维保人员30分钟内抵达所维保电梯所在地实施现场救援。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协助采购人建立每台电梯的档案，包括电梯安全管理制度、应急救援预案、维保记录、故障记录、日常巡查记录等。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协助采购人至少每年开展一次应急演练。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至少提前一天书面告知采购人维护保养时间及联系人，维护保养期间应在现场放置警示标志。</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终止电梯维护保养时不得采用设置密码等方式干扰电梯后续的正常运行和安全使用。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w:t>
      </w:r>
      <w:r>
        <w:rPr>
          <w:rFonts w:hint="eastAsia" w:ascii="宋体" w:hAnsi="宋体" w:eastAsia="宋体" w:cs="宋体"/>
          <w:sz w:val="21"/>
          <w:szCs w:val="21"/>
        </w:rPr>
        <w:t>提供必需的备品备件，满足使用过程中更换及时性的要求。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r>
        <w:rPr>
          <w:rFonts w:hint="eastAsia" w:ascii="宋体" w:hAnsi="宋体" w:eastAsia="宋体" w:cs="宋体"/>
          <w:sz w:val="21"/>
          <w:szCs w:val="21"/>
        </w:rPr>
        <w:t>在未经采购人许可的情况下不得将售后维保业务转包、分包。</w:t>
      </w:r>
    </w:p>
    <w:p>
      <w:pPr>
        <w:spacing w:line="360" w:lineRule="auto"/>
        <w:rPr>
          <w:rFonts w:hint="eastAsia" w:ascii="宋体" w:hAnsi="宋体" w:eastAsia="宋体" w:cs="宋体"/>
          <w:sz w:val="21"/>
          <w:szCs w:val="21"/>
        </w:rPr>
      </w:pPr>
    </w:p>
    <w:p>
      <w:pPr>
        <w:spacing w:line="360" w:lineRule="auto"/>
        <w:ind w:firstLine="422" w:firstLineChars="200"/>
        <w:rPr>
          <w:rFonts w:hint="eastAsia" w:ascii="宋体" w:hAnsi="宋体" w:eastAsia="宋体" w:cs="宋体"/>
          <w:color w:val="FF0000"/>
          <w:sz w:val="21"/>
          <w:szCs w:val="21"/>
        </w:rPr>
      </w:pPr>
      <w:bookmarkStart w:id="0" w:name="_Toc17452"/>
      <w:bookmarkStart w:id="1" w:name="_Toc20695"/>
      <w:r>
        <w:rPr>
          <w:rFonts w:hint="eastAsia" w:ascii="宋体" w:hAnsi="宋体" w:eastAsia="宋体" w:cs="宋体"/>
          <w:b/>
          <w:sz w:val="21"/>
          <w:szCs w:val="21"/>
        </w:rPr>
        <w:t>七、施工界面划分</w:t>
      </w:r>
      <w:bookmarkEnd w:id="0"/>
      <w:bookmarkEnd w:id="1"/>
      <w:r>
        <w:rPr>
          <w:rFonts w:hint="eastAsia" w:ascii="宋体" w:hAnsi="宋体" w:eastAsia="宋体" w:cs="宋体"/>
          <w:color w:val="FF0000"/>
          <w:sz w:val="21"/>
          <w:szCs w:val="21"/>
        </w:rPr>
        <w:t>（采购人可以根据现场实际情况进行修改）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电梯电源管线由施工总包施工至井道内电梯控制柜（箱），电梯控制柜（箱）出线的管路（或线槽）、电缆敷设、导线由中标供应商提供并安装。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中标供应商负责提供井道照明的材料及安装。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（三）</w:t>
      </w:r>
      <w:r>
        <w:rPr>
          <w:rFonts w:hint="eastAsia" w:ascii="宋体" w:hAnsi="宋体" w:eastAsia="宋体" w:cs="宋体"/>
          <w:sz w:val="21"/>
          <w:szCs w:val="21"/>
        </w:rPr>
        <w:t>电梯井道门洞口的防护栅栏由施工总包单位在土建施工时完成(厅门护栏的设置应符合中标供应商的安全要求),中标供应商进场后由中标供应商负责井道门洞口的安全维护。</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（四）</w:t>
      </w:r>
      <w:r>
        <w:rPr>
          <w:rFonts w:hint="eastAsia" w:ascii="宋体" w:hAnsi="宋体" w:eastAsia="宋体" w:cs="宋体"/>
          <w:sz w:val="21"/>
          <w:szCs w:val="21"/>
        </w:rPr>
        <w:t>施工总包单位负责为中标供应商提供每个楼层施工标高线，同时按中标供应商提供图纸预留电梯厅外按钮、到站显示灯等孔洞。</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（五）</w:t>
      </w:r>
      <w:r>
        <w:rPr>
          <w:rFonts w:hint="eastAsia" w:ascii="宋体" w:hAnsi="宋体" w:eastAsia="宋体" w:cs="宋体"/>
          <w:sz w:val="21"/>
          <w:szCs w:val="21"/>
        </w:rPr>
        <w:t>施工总包单位为中标供应商提供临时场所并指定施工现场内的垃圾堆放点，中标供应商在临时场所搭建工具房并自行采用保护措施，负责自行施工过程中的建筑垃圾清理及外运。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（六）</w:t>
      </w:r>
      <w:r>
        <w:rPr>
          <w:rFonts w:hint="eastAsia" w:ascii="宋体" w:hAnsi="宋体" w:eastAsia="宋体" w:cs="宋体"/>
          <w:sz w:val="21"/>
          <w:szCs w:val="21"/>
        </w:rPr>
        <w:t>电梯井道施工用脚手架由中标供应商自行负责提供及安装。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（七）</w:t>
      </w:r>
      <w:r>
        <w:rPr>
          <w:rFonts w:hint="eastAsia" w:ascii="宋体" w:hAnsi="宋体" w:eastAsia="宋体" w:cs="宋体"/>
          <w:sz w:val="21"/>
          <w:szCs w:val="21"/>
        </w:rPr>
        <w:t>施工总包提供中标供应商施工用水用电到指定地点，中标供应商需支付施工水电费用，水电接驳点至电梯井部分电线及水管由中标供应商负责，且用水用电满足现场施工要求。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（八）</w:t>
      </w:r>
      <w:r>
        <w:rPr>
          <w:rFonts w:hint="eastAsia" w:ascii="宋体" w:hAnsi="宋体" w:eastAsia="宋体" w:cs="宋体"/>
          <w:sz w:val="21"/>
          <w:szCs w:val="21"/>
        </w:rPr>
        <w:t>电梯调试期间，施工总包提供二级电箱并接线至电梯机房，以满足调试电源所需的独立电源。中标供应商承担调试、转换用电费用。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（九）</w:t>
      </w:r>
      <w:r>
        <w:rPr>
          <w:rFonts w:hint="eastAsia" w:ascii="宋体" w:hAnsi="宋体" w:eastAsia="宋体" w:cs="宋体"/>
          <w:sz w:val="21"/>
          <w:szCs w:val="21"/>
        </w:rPr>
        <w:t>电梯井道至轿箱顶部的管线由中标供应商提供并安装；中央监控室至电梯井道管线由施工总包提供并安装。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（十）</w:t>
      </w:r>
      <w:r>
        <w:rPr>
          <w:rFonts w:hint="eastAsia" w:ascii="宋体" w:hAnsi="宋体" w:eastAsia="宋体" w:cs="宋体"/>
          <w:sz w:val="21"/>
          <w:szCs w:val="21"/>
        </w:rPr>
        <w:t>中央监控室五方对讲主机、机房至电梯轿箱内的五方通话管线，及轿顶、轿内、底坑对讲机由中标供应商提供并安装；中央监控室至电梯井道五方对讲管线由施工总包提供并安装。</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lang w:eastAsia="zh-CN"/>
        </w:rPr>
        <w:t>（十一）</w:t>
      </w:r>
      <w:r>
        <w:rPr>
          <w:rFonts w:hint="eastAsia" w:ascii="宋体" w:hAnsi="宋体" w:eastAsia="宋体" w:cs="宋体"/>
          <w:sz w:val="21"/>
          <w:szCs w:val="21"/>
        </w:rPr>
        <w:t>中标供应商与施工总包的配合协调费和现场与土建相关的施工、修补、完善费用，</w:t>
      </w:r>
      <w:r>
        <w:rPr>
          <w:rFonts w:hint="eastAsia" w:ascii="宋体" w:hAnsi="宋体" w:eastAsia="宋体" w:cs="宋体"/>
          <w:b/>
          <w:color w:val="FF0000"/>
          <w:sz w:val="21"/>
          <w:szCs w:val="21"/>
        </w:rPr>
        <w:t>按照安装工程费  %计取</w:t>
      </w:r>
      <w:r>
        <w:rPr>
          <w:rFonts w:hint="eastAsia" w:ascii="宋体" w:hAnsi="宋体" w:eastAsia="宋体" w:cs="宋体"/>
          <w:color w:val="FF0000"/>
          <w:sz w:val="21"/>
          <w:szCs w:val="21"/>
        </w:rPr>
        <w:t>，纳入投标总价，由中标供应商支付给施工总包。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panose1 w:val="020B0602030504020204"/>
    <w:charset w:val="00"/>
    <w:family w:val="swiss"/>
    <w:pitch w:val="default"/>
    <w:sig w:usb0="00000003" w:usb1="00000000" w:usb2="00000000" w:usb3="00000000" w:csb0="20000001" w:csb1="00000000"/>
  </w:font>
  <w:font w:name="等线">
    <w:altName w:val="Arial Unicode MS"/>
    <w:panose1 w:val="02010600030101010101"/>
    <w:charset w:val="86"/>
    <w:family w:val="auto"/>
    <w:pitch w:val="default"/>
    <w:sig w:usb0="00000000" w:usb1="00000000" w:usb2="00000016" w:usb3="00000000" w:csb0="0004000F" w:csb1="00000000"/>
  </w:font>
  <w:font w:name="方正兰亭黑_GBK">
    <w:altName w:val="Arial Unicode MS"/>
    <w:panose1 w:val="00000000000000000000"/>
    <w:charset w:val="86"/>
    <w:family w:val="script"/>
    <w:pitch w:val="default"/>
    <w:sig w:usb0="00000000" w:usb1="00000000" w:usb2="0008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3070230"/>
      <w:docPartObj>
        <w:docPartGallery w:val="autotext"/>
      </w:docPartObj>
    </w:sdtPr>
    <w:sdtContent>
      <w:p>
        <w:pPr>
          <w:pStyle w:val="7"/>
          <w:jc w:val="center"/>
        </w:pPr>
        <w:r>
          <w:fldChar w:fldCharType="begin"/>
        </w:r>
        <w:r>
          <w:instrText xml:space="preserve"> PAGE   \* MERGEFORMAT </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64245B"/>
    <w:rsid w:val="0064245B"/>
    <w:rsid w:val="006934B1"/>
    <w:rsid w:val="00802260"/>
    <w:rsid w:val="009055E5"/>
    <w:rsid w:val="009420EA"/>
    <w:rsid w:val="00E30F34"/>
    <w:rsid w:val="1A575719"/>
    <w:rsid w:val="288A5C59"/>
    <w:rsid w:val="49902B2E"/>
    <w:rsid w:val="540120F8"/>
    <w:rsid w:val="7BCD0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Arial"/>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alloon Text"/>
    <w:basedOn w:val="1"/>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autoRedefine/>
    <w:qFormat/>
    <w:uiPriority w:val="0"/>
    <w:rPr>
      <w:b/>
      <w:bCs/>
    </w:rPr>
  </w:style>
  <w:style w:type="character" w:styleId="12">
    <w:name w:val="annotation reference"/>
    <w:basedOn w:val="11"/>
    <w:autoRedefin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9D6E088-AB28-4FA6-B41C-B99B8905EA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590</Words>
  <Characters>3364</Characters>
  <Lines>28</Lines>
  <Paragraphs>7</Paragraphs>
  <TotalTime>11</TotalTime>
  <ScaleCrop>false</ScaleCrop>
  <LinksUpToDate>false</LinksUpToDate>
  <CharactersWithSpaces>3947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2024-03-17T07:49:00Z</dcterms:created>
  <dc:creator>张敏捷</dc:creator>
  <cp:lastModifiedBy>ccy</cp:lastModifiedBy>
  <dcterms:modified xsi:type="dcterms:W3CDTF">2024-04-16T01:01:10Z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4924AEC83D40450A82FFDADCE2768EB6_13</vt:lpwstr>
  </property>
</Properties>
</file>