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tbl>
      <w:tblPr>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val="04A0" w:firstRow="1" w:lastRow="0" w:firstColumn="1" w:lastColumn="0" w:noHBand="0" w:noVBand="1"/>
      </w:tblPr>
      <w:tblGrid>
        <w:gridCol w:w="2660"/>
        <w:gridCol w:w="7039"/>
      </w:tblGrid>
      <w:tr>
        <w:trPr>
          <w:cantSplit/>
          <w:jc w:val="center"/>
          <w:trHeight w:val="930"/>
        </w:trPr>
        <w:tc>
          <w:tcPr>
            <w:gridSpan w:val="2"/>
            <w:tcBorders>
              <w:top w:val="none" w:color="000000" w:sz="4" w:space="0"/>
              <w:left w:val="none" w:color="000000" w:sz="4" w:space="0"/>
              <w:bottom w:val="none" w:color="000000" w:sz="4" w:space="0"/>
              <w:right w:val="none" w:color="000000" w:sz="4" w:space="0"/>
            </w:tcBorders>
            <w:tcW w:w="9699" w:type="dxa"/>
            <w:vAlign w:val="center"/>
            <w:textDirection w:val="lrTb"/>
            <w:noWrap w:val="false"/>
          </w:tcPr>
          <w:p>
            <w:pPr>
              <w:pStyle w:val="696"/>
              <w:pBdr/>
              <w:spacing/>
              <w:ind/>
              <w:jc w:val="center"/>
              <w:rPr>
                <w:rFonts w:ascii="黑体" w:eastAsia="黑体"/>
                <w:b/>
                <w:color w:val="000000"/>
                <w:sz w:val="52"/>
              </w:rPr>
            </w:pPr>
            <w:r>
              <w:rPr>
                <w:rFonts w:hint="eastAsia" w:ascii="黑体" w:eastAsia="黑体"/>
                <w:b/>
                <w:color w:val="000000"/>
                <w:sz w:val="48"/>
                <w:szCs w:val="48"/>
              </w:rPr>
              <w:t xml:space="preserve">修缮工程施工</w:t>
            </w:r>
            <w:r>
              <w:rPr>
                <w:rFonts w:hint="eastAsia" w:ascii="黑体" w:eastAsia="黑体"/>
                <w:b/>
                <w:color w:val="000000"/>
                <w:spacing w:val="24"/>
                <w:sz w:val="48"/>
                <w:szCs w:val="48"/>
              </w:rPr>
              <w:t xml:space="preserve">合同</w:t>
            </w:r>
            <w:r>
              <w:rPr>
                <w:rFonts w:ascii="黑体" w:eastAsia="黑体"/>
                <w:b/>
                <w:color w:val="000000"/>
                <w:sz w:val="52"/>
              </w:rPr>
            </w:r>
          </w:p>
        </w:tc>
      </w:tr>
      <w:tr>
        <w:trPr>
          <w:cantSplit/>
          <w:jc w:val="center"/>
          <w:trHeight w:val="520"/>
        </w:trPr>
        <w:tc>
          <w:tcPr>
            <w:gridSpan w:val="2"/>
            <w:tcBorders>
              <w:top w:val="none" w:color="000000" w:sz="4" w:space="0"/>
              <w:left w:val="none" w:color="000000" w:sz="4" w:space="0"/>
              <w:bottom w:val="none" w:color="000000" w:sz="4" w:space="0"/>
              <w:right w:val="none" w:color="000000" w:sz="4" w:space="0"/>
            </w:tcBorders>
            <w:tcW w:w="9699" w:type="dxa"/>
            <w:vAlign w:val="center"/>
            <w:textDirection w:val="lrTb"/>
            <w:noWrap w:val="false"/>
          </w:tcPr>
          <w:p>
            <w:pPr>
              <w:pStyle w:val="696"/>
              <w:pBdr/>
              <w:spacing w:line="240" w:lineRule="exact"/>
              <w:ind/>
              <w:rPr>
                <w:color w:val="000000"/>
              </w:rPr>
            </w:pPr>
            <w:r>
              <w:rPr>
                <w:color w:val="000000"/>
              </w:rPr>
            </w:r>
            <w:r>
              <w:rPr>
                <w:color w:val="000000"/>
              </w:rPr>
            </w:r>
          </w:p>
          <w:p>
            <w:pPr>
              <w:pStyle w:val="696"/>
              <w:pBdr/>
              <w:spacing w:line="240" w:lineRule="exact"/>
              <w:ind/>
              <w:rPr>
                <w:color w:val="000000"/>
              </w:rPr>
            </w:pPr>
            <w:r>
              <w:rPr>
                <w:color w:val="000000"/>
              </w:rPr>
            </w:r>
            <w:r>
              <w:rPr>
                <w:color w:val="000000"/>
              </w:rPr>
            </w:r>
          </w:p>
          <w:p>
            <w:pPr>
              <w:pStyle w:val="696"/>
              <w:pBdr/>
              <w:spacing w:line="240" w:lineRule="exact"/>
              <w:ind/>
              <w:jc w:val="center"/>
              <w:rPr>
                <w:color w:val="000000"/>
              </w:rPr>
            </w:pPr>
            <w:r>
              <w:rPr>
                <w:color w:val="000000"/>
              </w:rPr>
            </w:r>
            <w:r>
              <w:rPr>
                <w:color w:val="000000"/>
              </w:rPr>
            </w:r>
          </w:p>
          <w:p>
            <w:pPr>
              <w:pStyle w:val="696"/>
              <w:pBdr/>
              <w:spacing w:line="240" w:lineRule="exact"/>
              <w:ind/>
              <w:rPr>
                <w:color w:val="000000"/>
              </w:rPr>
            </w:pPr>
            <w:r>
              <w:rPr>
                <w:color w:val="000000"/>
              </w:rPr>
            </w:r>
            <w:r>
              <w:rPr>
                <w:color w:val="000000"/>
              </w:rPr>
            </w:r>
          </w:p>
        </w:tc>
      </w:tr>
      <w:tr>
        <w:trPr>
          <w:jc w:val="center"/>
          <w:trHeight w:val="930"/>
        </w:trPr>
        <w:tc>
          <w:tcPr>
            <w:tcBorders>
              <w:top w:val="none" w:color="000000" w:sz="4" w:space="0"/>
              <w:left w:val="none" w:color="000000" w:sz="4" w:space="0"/>
              <w:bottom w:val="none" w:color="000000" w:sz="4" w:space="0"/>
              <w:right w:val="none" w:color="000000" w:sz="4" w:space="0"/>
            </w:tcBorders>
            <w:tcW w:w="2660" w:type="dxa"/>
            <w:vAlign w:val="bottom"/>
            <w:textDirection w:val="lrTb"/>
            <w:noWrap w:val="false"/>
          </w:tcPr>
          <w:p>
            <w:pPr>
              <w:pStyle w:val="696"/>
              <w:pBdr/>
              <w:spacing/>
              <w:ind/>
              <w:jc w:val="both"/>
              <w:rPr>
                <w:rFonts w:ascii="Times New Roman" w:hAnsi="Times New Roman" w:eastAsia="黑体"/>
                <w:b/>
                <w:color w:val="000000"/>
                <w:sz w:val="30"/>
              </w:rPr>
            </w:pPr>
            <w:r>
              <w:rPr>
                <w:rFonts w:hint="eastAsia" w:ascii="Times New Roman" w:hAnsi="Times New Roman" w:eastAsia="黑体"/>
                <w:b/>
                <w:color w:val="000000"/>
                <w:sz w:val="30"/>
              </w:rPr>
              <w:t xml:space="preserve">项目名称：</w:t>
            </w:r>
            <w:r>
              <w:rPr>
                <w:rFonts w:ascii="Times New Roman" w:hAnsi="Times New Roman" w:eastAsia="黑体"/>
                <w:b/>
                <w:color w:val="000000"/>
                <w:sz w:val="30"/>
              </w:rPr>
            </w:r>
          </w:p>
        </w:tc>
        <w:tc>
          <w:tcPr>
            <w:tcBorders>
              <w:top w:val="none" w:color="000000" w:sz="4" w:space="0"/>
              <w:left w:val="none" w:color="000000" w:sz="4" w:space="0"/>
              <w:bottom w:val="single" w:color="auto" w:sz="4" w:space="0"/>
              <w:right w:val="none" w:color="000000" w:sz="4" w:space="0"/>
            </w:tcBorders>
            <w:tcW w:w="7039" w:type="dxa"/>
            <w:vAlign w:val="bottom"/>
            <w:textDirection w:val="lrTb"/>
            <w:noWrap w:val="false"/>
          </w:tcPr>
          <w:p>
            <w:pPr>
              <w:pBdr/>
              <w:spacing/>
              <w:ind/>
              <w:rPr>
                <w:rFonts w:ascii="宋体" w:hAnsi="Courier New"/>
                <w:b/>
                <w:color w:val="000000"/>
                <w:sz w:val="28"/>
                <w:szCs w:val="28"/>
              </w:rPr>
            </w:pPr>
            <w:r>
              <w:rPr>
                <w:rFonts w:hint="eastAsia" w:ascii="黑体" w:eastAsia="黑体"/>
                <w:b/>
                <w:color w:val="000000"/>
                <w:sz w:val="28"/>
                <w:szCs w:val="28"/>
              </w:rPr>
              <w:t xml:space="preserve">上川路校区</w:t>
            </w:r>
            <w:r>
              <w:rPr>
                <w:rFonts w:hint="eastAsia" w:ascii="黑体" w:eastAsia="黑体"/>
                <w:b/>
                <w:color w:val="000000"/>
                <w:sz w:val="28"/>
                <w:szCs w:val="28"/>
              </w:rPr>
              <w:t xml:space="preserve">****</w:t>
            </w:r>
            <w:r>
              <w:rPr>
                <w:rFonts w:hint="eastAsia" w:ascii="黑体" w:eastAsia="黑体"/>
                <w:b/>
                <w:color w:val="000000"/>
                <w:sz w:val="28"/>
                <w:szCs w:val="28"/>
              </w:rPr>
              <w:t xml:space="preserve">工程</w:t>
            </w:r>
            <w:r>
              <w:rPr>
                <w:rFonts w:ascii="宋体" w:hAnsi="Courier New"/>
                <w:b/>
                <w:color w:val="000000"/>
                <w:sz w:val="28"/>
                <w:szCs w:val="28"/>
              </w:rPr>
            </w:r>
          </w:p>
        </w:tc>
      </w:tr>
      <w:tr>
        <w:trPr>
          <w:jc w:val="center"/>
          <w:trHeight w:val="930"/>
        </w:trPr>
        <w:tc>
          <w:tcPr>
            <w:tcBorders>
              <w:top w:val="none" w:color="000000" w:sz="4" w:space="0"/>
              <w:left w:val="none" w:color="000000" w:sz="4" w:space="0"/>
              <w:bottom w:val="none" w:color="000000" w:sz="4" w:space="0"/>
              <w:right w:val="none" w:color="000000" w:sz="4" w:space="0"/>
            </w:tcBorders>
            <w:tcW w:w="2660" w:type="dxa"/>
            <w:vAlign w:val="bottom"/>
            <w:textDirection w:val="lrTb"/>
            <w:noWrap w:val="false"/>
          </w:tcPr>
          <w:p>
            <w:pPr>
              <w:pStyle w:val="696"/>
              <w:pBdr/>
              <w:spacing/>
              <w:ind/>
              <w:jc w:val="both"/>
              <w:rPr>
                <w:rFonts w:ascii="Times New Roman" w:hAnsi="Times New Roman" w:eastAsia="黑体"/>
                <w:b/>
                <w:color w:val="000000"/>
                <w:sz w:val="30"/>
              </w:rPr>
            </w:pPr>
            <w:r>
              <w:rPr>
                <w:rFonts w:ascii="Times New Roman" w:hAnsi="Times New Roman" w:eastAsia="黑体"/>
                <w:b/>
                <w:color w:val="000000"/>
                <w:sz w:val="30"/>
              </w:rPr>
            </w:r>
            <w:r>
              <w:rPr>
                <w:rFonts w:ascii="Times New Roman" w:hAnsi="Times New Roman" w:eastAsia="黑体"/>
                <w:b/>
                <w:color w:val="000000"/>
                <w:sz w:val="30"/>
              </w:rPr>
            </w:r>
          </w:p>
          <w:p>
            <w:pPr>
              <w:pStyle w:val="696"/>
              <w:pBdr/>
              <w:spacing/>
              <w:ind/>
              <w:jc w:val="both"/>
              <w:rPr>
                <w:rFonts w:ascii="Times New Roman" w:hAnsi="Times New Roman" w:eastAsia="黑体"/>
                <w:b/>
                <w:color w:val="000000"/>
                <w:sz w:val="30"/>
              </w:rPr>
            </w:pPr>
            <w:r>
              <w:rPr>
                <w:rFonts w:ascii="Times New Roman" w:hAnsi="Times New Roman" w:eastAsia="黑体"/>
                <w:b/>
                <w:color w:val="000000"/>
                <w:sz w:val="30"/>
              </w:rPr>
            </w:r>
            <w:r>
              <w:rPr>
                <w:rFonts w:ascii="Times New Roman" w:hAnsi="Times New Roman" w:eastAsia="黑体"/>
                <w:b/>
                <w:color w:val="000000"/>
                <w:sz w:val="30"/>
              </w:rPr>
            </w:r>
          </w:p>
          <w:p>
            <w:pPr>
              <w:pStyle w:val="696"/>
              <w:pBdr/>
              <w:spacing/>
              <w:ind/>
              <w:jc w:val="both"/>
              <w:rPr>
                <w:rFonts w:ascii="Times New Roman" w:hAnsi="Times New Roman" w:eastAsia="黑体"/>
                <w:b/>
                <w:color w:val="000000"/>
                <w:sz w:val="30"/>
              </w:rPr>
            </w:pPr>
            <w:r>
              <w:rPr>
                <w:rFonts w:hint="eastAsia" w:ascii="Times New Roman" w:hAnsi="Times New Roman" w:eastAsia="黑体"/>
                <w:b/>
                <w:color w:val="000000"/>
                <w:sz w:val="30"/>
              </w:rPr>
              <w:t xml:space="preserve">发包方（甲方）：</w:t>
            </w:r>
            <w:r>
              <w:rPr>
                <w:rFonts w:ascii="Times New Roman" w:hAnsi="Times New Roman" w:eastAsia="黑体"/>
                <w:b/>
                <w:color w:val="000000"/>
                <w:sz w:val="30"/>
              </w:rPr>
            </w:r>
          </w:p>
        </w:tc>
        <w:tc>
          <w:tcPr>
            <w:tcBorders>
              <w:top w:val="none" w:color="000000" w:sz="4" w:space="0"/>
              <w:left w:val="none" w:color="000000" w:sz="4" w:space="0"/>
              <w:bottom w:val="single" w:color="auto" w:sz="4" w:space="0"/>
              <w:right w:val="none" w:color="000000" w:sz="4" w:space="0"/>
            </w:tcBorders>
            <w:tcW w:w="7039" w:type="dxa"/>
            <w:vAlign w:val="bottom"/>
            <w:textDirection w:val="lrTb"/>
            <w:noWrap w:val="false"/>
          </w:tcPr>
          <w:p>
            <w:pPr>
              <w:pBdr/>
              <w:spacing/>
              <w:ind/>
              <w:rPr>
                <w:rFonts w:hAnsi="宋体"/>
                <w:b/>
                <w:color w:val="000000"/>
                <w:sz w:val="30"/>
              </w:rPr>
            </w:pPr>
            <w:r>
              <w:rPr>
                <w:rFonts w:hint="eastAsia" w:ascii="宋体" w:hAnsi="Courier New"/>
                <w:b/>
                <w:color w:val="000000"/>
                <w:sz w:val="28"/>
                <w:szCs w:val="21"/>
              </w:rPr>
              <w:t xml:space="preserve">上海立信会计金融学院</w:t>
            </w:r>
            <w:r>
              <w:rPr>
                <w:rFonts w:hAnsi="宋体"/>
                <w:b/>
                <w:color w:val="000000"/>
                <w:sz w:val="30"/>
              </w:rPr>
            </w:r>
          </w:p>
        </w:tc>
      </w:tr>
      <w:tr>
        <w:trPr>
          <w:cantSplit/>
          <w:jc w:val="center"/>
          <w:trHeight w:val="930"/>
        </w:trPr>
        <w:tc>
          <w:tcPr>
            <w:tcBorders>
              <w:top w:val="none" w:color="000000" w:sz="4" w:space="0"/>
              <w:left w:val="none" w:color="000000" w:sz="4" w:space="0"/>
              <w:bottom w:val="none" w:color="000000" w:sz="4" w:space="0"/>
              <w:right w:val="none" w:color="000000" w:sz="4" w:space="0"/>
            </w:tcBorders>
            <w:tcW w:w="2660" w:type="dxa"/>
            <w:vAlign w:val="bottom"/>
            <w:textDirection w:val="lrTb"/>
            <w:noWrap w:val="false"/>
          </w:tcPr>
          <w:p>
            <w:pPr>
              <w:pStyle w:val="696"/>
              <w:pBdr/>
              <w:spacing/>
              <w:ind/>
              <w:jc w:val="both"/>
              <w:rPr>
                <w:rFonts w:ascii="Times New Roman" w:hAnsi="Times New Roman" w:eastAsia="黑体"/>
                <w:b/>
                <w:color w:val="000000"/>
                <w:sz w:val="30"/>
              </w:rPr>
            </w:pPr>
            <w:r>
              <w:rPr>
                <w:rFonts w:ascii="Times New Roman" w:hAnsi="Times New Roman" w:eastAsia="黑体"/>
                <w:b/>
                <w:color w:val="000000"/>
                <w:sz w:val="30"/>
              </w:rPr>
            </w:r>
            <w:r>
              <w:rPr>
                <w:rFonts w:ascii="Times New Roman" w:hAnsi="Times New Roman" w:eastAsia="黑体"/>
                <w:b/>
                <w:color w:val="000000"/>
                <w:sz w:val="30"/>
              </w:rPr>
            </w:r>
          </w:p>
          <w:p>
            <w:pPr>
              <w:pStyle w:val="696"/>
              <w:pBdr/>
              <w:spacing/>
              <w:ind/>
              <w:jc w:val="both"/>
              <w:rPr>
                <w:rFonts w:ascii="Times New Roman" w:hAnsi="Times New Roman" w:eastAsia="黑体"/>
                <w:b/>
                <w:color w:val="000000"/>
                <w:sz w:val="30"/>
              </w:rPr>
            </w:pPr>
            <w:r>
              <w:rPr>
                <w:rFonts w:ascii="Times New Roman" w:hAnsi="Times New Roman" w:eastAsia="黑体"/>
                <w:b/>
                <w:color w:val="000000"/>
                <w:sz w:val="30"/>
              </w:rPr>
            </w:r>
            <w:r>
              <w:rPr>
                <w:rFonts w:ascii="Times New Roman" w:hAnsi="Times New Roman" w:eastAsia="黑体"/>
                <w:b/>
                <w:color w:val="000000"/>
                <w:sz w:val="30"/>
              </w:rPr>
            </w:r>
          </w:p>
          <w:p>
            <w:pPr>
              <w:pStyle w:val="696"/>
              <w:pBdr/>
              <w:spacing/>
              <w:ind/>
              <w:jc w:val="both"/>
              <w:rPr>
                <w:rFonts w:ascii="Times New Roman" w:hAnsi="Times New Roman" w:eastAsia="黑体"/>
                <w:b/>
                <w:color w:val="000000"/>
                <w:sz w:val="30"/>
              </w:rPr>
            </w:pPr>
            <w:r>
              <w:rPr>
                <w:rFonts w:hint="eastAsia" w:ascii="Times New Roman" w:hAnsi="Times New Roman" w:eastAsia="黑体"/>
                <w:b/>
                <w:color w:val="000000"/>
                <w:sz w:val="30"/>
              </w:rPr>
              <w:t xml:space="preserve">承包方（乙方）：</w:t>
            </w:r>
            <w:r>
              <w:rPr>
                <w:rFonts w:ascii="Times New Roman" w:hAnsi="Times New Roman" w:eastAsia="黑体"/>
                <w:b/>
                <w:color w:val="000000"/>
                <w:sz w:val="30"/>
              </w:rPr>
            </w:r>
          </w:p>
        </w:tc>
        <w:tc>
          <w:tcPr>
            <w:tcBorders>
              <w:top w:val="single" w:color="auto" w:sz="4" w:space="0"/>
              <w:left w:val="none" w:color="000000" w:sz="4" w:space="0"/>
              <w:bottom w:val="single" w:color="auto" w:sz="4" w:space="0"/>
              <w:right w:val="none" w:color="000000" w:sz="4" w:space="0"/>
            </w:tcBorders>
            <w:tcW w:w="7039" w:type="dxa"/>
            <w:vAlign w:val="bottom"/>
            <w:textDirection w:val="lrTb"/>
            <w:noWrap w:val="false"/>
          </w:tcPr>
          <w:p>
            <w:pPr>
              <w:pBdr/>
              <w:spacing/>
              <w:ind/>
              <w:rPr>
                <w:b/>
                <w:color w:val="000000"/>
                <w:sz w:val="28"/>
              </w:rPr>
            </w:pPr>
            <w:r>
              <w:rPr>
                <w:b/>
                <w:color w:val="000000"/>
                <w:sz w:val="28"/>
              </w:rPr>
            </w:r>
            <w:r>
              <w:rPr>
                <w:b/>
                <w:color w:val="000000"/>
                <w:sz w:val="28"/>
              </w:rPr>
            </w:r>
          </w:p>
        </w:tc>
      </w:tr>
      <w:tr>
        <w:trPr>
          <w:cantSplit/>
          <w:jc w:val="center"/>
          <w:trHeight w:val="930"/>
        </w:trPr>
        <w:tc>
          <w:tcPr>
            <w:tcBorders>
              <w:top w:val="none" w:color="000000" w:sz="4" w:space="0"/>
              <w:left w:val="none" w:color="000000" w:sz="4" w:space="0"/>
              <w:bottom w:val="none" w:color="000000" w:sz="4" w:space="0"/>
              <w:right w:val="none" w:color="000000" w:sz="4" w:space="0"/>
            </w:tcBorders>
            <w:tcW w:w="2660" w:type="dxa"/>
            <w:vAlign w:val="bottom"/>
            <w:textDirection w:val="lrTb"/>
            <w:noWrap w:val="false"/>
          </w:tcPr>
          <w:p>
            <w:pPr>
              <w:pStyle w:val="696"/>
              <w:pBdr/>
              <w:spacing/>
              <w:ind/>
              <w:jc w:val="center"/>
              <w:rPr>
                <w:rFonts w:ascii="Times New Roman" w:hAnsi="Times New Roman" w:eastAsia="黑体"/>
                <w:b/>
                <w:color w:val="000000"/>
                <w:sz w:val="30"/>
              </w:rPr>
            </w:pPr>
            <w:r>
              <w:rPr>
                <w:rFonts w:ascii="Times New Roman" w:hAnsi="Times New Roman" w:eastAsia="黑体"/>
                <w:b/>
                <w:color w:val="000000"/>
                <w:sz w:val="30"/>
              </w:rPr>
            </w:r>
            <w:r>
              <w:rPr>
                <w:rFonts w:ascii="Times New Roman" w:hAnsi="Times New Roman" w:eastAsia="黑体"/>
                <w:b/>
                <w:color w:val="000000"/>
                <w:sz w:val="30"/>
              </w:rPr>
            </w:r>
          </w:p>
        </w:tc>
        <w:tc>
          <w:tcPr>
            <w:tcBorders>
              <w:top w:val="single" w:color="auto" w:sz="4" w:space="0"/>
              <w:left w:val="none" w:color="000000" w:sz="4" w:space="0"/>
              <w:bottom w:val="none" w:color="000000" w:sz="4" w:space="0"/>
              <w:right w:val="none" w:color="000000" w:sz="4" w:space="0"/>
            </w:tcBorders>
            <w:tcW w:w="7039" w:type="dxa"/>
            <w:vAlign w:val="bottom"/>
            <w:textDirection w:val="lrTb"/>
            <w:noWrap w:val="false"/>
          </w:tcPr>
          <w:p>
            <w:pPr>
              <w:pStyle w:val="696"/>
              <w:pBdr/>
              <w:spacing/>
              <w:ind/>
              <w:rPr>
                <w:b/>
                <w:color w:val="000000"/>
                <w:sz w:val="28"/>
                <w:szCs w:val="28"/>
              </w:rPr>
            </w:pPr>
            <w:r>
              <w:rPr>
                <w:b/>
                <w:color w:val="000000"/>
                <w:sz w:val="28"/>
                <w:szCs w:val="28"/>
              </w:rPr>
            </w:r>
            <w:r>
              <w:rPr>
                <w:b/>
                <w:color w:val="000000"/>
                <w:sz w:val="28"/>
                <w:szCs w:val="28"/>
              </w:rPr>
            </w:r>
          </w:p>
        </w:tc>
      </w:tr>
      <w:tr>
        <w:trPr>
          <w:cantSplit/>
          <w:jc w:val="center"/>
          <w:trHeight w:val="930"/>
        </w:trPr>
        <w:tc>
          <w:tcPr>
            <w:tcBorders>
              <w:top w:val="none" w:color="000000" w:sz="4" w:space="0"/>
              <w:left w:val="none" w:color="000000" w:sz="4" w:space="0"/>
              <w:bottom w:val="none" w:color="000000" w:sz="4" w:space="0"/>
              <w:right w:val="none" w:color="000000" w:sz="4" w:space="0"/>
            </w:tcBorders>
            <w:tcW w:w="2660" w:type="dxa"/>
            <w:vAlign w:val="bottom"/>
            <w:textDirection w:val="lrTb"/>
            <w:noWrap w:val="false"/>
          </w:tcPr>
          <w:p>
            <w:pPr>
              <w:pStyle w:val="696"/>
              <w:pBdr/>
              <w:spacing/>
              <w:ind/>
              <w:jc w:val="center"/>
              <w:rPr>
                <w:rFonts w:ascii="Times New Roman" w:hAnsi="Times New Roman" w:eastAsia="黑体"/>
                <w:b/>
                <w:color w:val="000000"/>
                <w:sz w:val="30"/>
              </w:rPr>
            </w:pPr>
            <w:r>
              <w:rPr>
                <w:rFonts w:ascii="Times New Roman" w:hAnsi="Times New Roman" w:eastAsia="黑体"/>
                <w:b/>
                <w:color w:val="000000"/>
                <w:sz w:val="30"/>
              </w:rPr>
            </w:r>
            <w:r>
              <w:rPr>
                <w:rFonts w:ascii="Times New Roman" w:hAnsi="Times New Roman" w:eastAsia="黑体"/>
                <w:b/>
                <w:color w:val="000000"/>
                <w:sz w:val="30"/>
              </w:rPr>
            </w:r>
          </w:p>
        </w:tc>
        <w:tc>
          <w:tcPr>
            <w:tcBorders>
              <w:top w:val="none" w:color="000000" w:sz="4" w:space="0"/>
              <w:left w:val="none" w:color="000000" w:sz="4" w:space="0"/>
              <w:bottom w:val="none" w:color="000000" w:sz="4" w:space="0"/>
              <w:right w:val="none" w:color="000000" w:sz="4" w:space="0"/>
            </w:tcBorders>
            <w:tcW w:w="7039" w:type="dxa"/>
            <w:vAlign w:val="bottom"/>
            <w:textDirection w:val="lrTb"/>
            <w:noWrap w:val="false"/>
          </w:tcPr>
          <w:p>
            <w:pPr>
              <w:pStyle w:val="696"/>
              <w:pBdr/>
              <w:spacing/>
              <w:ind/>
              <w:rPr>
                <w:b/>
                <w:color w:val="000000"/>
                <w:sz w:val="28"/>
              </w:rPr>
            </w:pPr>
            <w:r>
              <w:rPr>
                <w:b/>
                <w:color w:val="000000"/>
                <w:sz w:val="28"/>
              </w:rPr>
            </w:r>
            <w:r>
              <w:rPr>
                <w:b/>
                <w:color w:val="000000"/>
                <w:sz w:val="28"/>
              </w:rPr>
            </w:r>
          </w:p>
        </w:tc>
      </w:tr>
    </w:tbl>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5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460" w:lineRule="exact"/>
        <w:ind w:firstLine="161"/>
        <w:jc w:val="center"/>
        <w:rPr>
          <w:rFonts w:ascii="楷体" w:hAnsi="楷体" w:eastAsia="楷体"/>
          <w:b/>
          <w:bCs/>
          <w:color w:val="000000"/>
          <w:sz w:val="32"/>
          <w:szCs w:val="32"/>
        </w:rPr>
      </w:pPr>
      <w:r>
        <w:rPr>
          <w:rFonts w:ascii="楷体" w:hAnsi="楷体" w:eastAsia="楷体"/>
          <w:b/>
          <w:bCs/>
          <w:color w:val="000000"/>
          <w:sz w:val="32"/>
          <w:szCs w:val="32"/>
        </w:rPr>
      </w:r>
      <w:r>
        <w:rPr>
          <w:rFonts w:ascii="楷体" w:hAnsi="楷体" w:eastAsia="楷体"/>
          <w:b/>
          <w:bCs/>
          <w:color w:val="000000"/>
          <w:sz w:val="32"/>
          <w:szCs w:val="32"/>
        </w:rPr>
      </w:r>
    </w:p>
    <w:p>
      <w:pPr>
        <w:pBdr/>
        <w:spacing w:line="480" w:lineRule="exact"/>
        <w:ind/>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r>
      <w:r>
        <w:rPr>
          <w:rFonts w:asciiTheme="minorEastAsia" w:hAnsiTheme="minorEastAsia" w:eastAsiaTheme="minorEastAsia"/>
          <w:color w:val="000000"/>
          <w:sz w:val="28"/>
          <w:szCs w:val="28"/>
        </w:rPr>
      </w:r>
    </w:p>
    <w:p>
      <w:pPr>
        <w:pBdr/>
        <w:spacing/>
        <w:ind/>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发包方</w:t>
      </w:r>
      <w:r>
        <w:rPr>
          <w:rFonts w:hint="eastAsia" w:asciiTheme="minorEastAsia" w:hAnsiTheme="minorEastAsia" w:eastAsiaTheme="minorEastAsia"/>
          <w:color w:val="000000"/>
          <w:sz w:val="28"/>
          <w:szCs w:val="28"/>
        </w:rPr>
        <w:t xml:space="preserve">(</w:t>
      </w:r>
      <w:r>
        <w:rPr>
          <w:rFonts w:hint="eastAsia" w:asciiTheme="minorEastAsia" w:hAnsiTheme="minorEastAsia" w:eastAsiaTheme="minorEastAsia"/>
          <w:color w:val="000000"/>
          <w:sz w:val="28"/>
          <w:szCs w:val="28"/>
        </w:rPr>
        <w:t xml:space="preserve">以下简称甲方</w:t>
      </w:r>
      <w:r>
        <w:rPr>
          <w:rFonts w:hint="eastAsia" w:asciiTheme="minorEastAsia" w:hAnsiTheme="minorEastAsia" w:eastAsiaTheme="minorEastAsia"/>
          <w:color w:val="000000"/>
          <w:sz w:val="28"/>
          <w:szCs w:val="28"/>
        </w:rPr>
        <w:t xml:space="preserve">):</w:t>
      </w:r>
      <w:r>
        <w:rPr>
          <w:rFonts w:hint="eastAsia" w:asciiTheme="minorEastAsia" w:hAnsiTheme="minorEastAsia" w:eastAsiaTheme="minorEastAsia"/>
          <w:color w:val="000000"/>
          <w:sz w:val="28"/>
          <w:szCs w:val="28"/>
        </w:rPr>
        <w:t xml:space="preserve">上海立信会计金融学院</w:t>
      </w:r>
      <w:r>
        <w:rPr>
          <w:rFonts w:asciiTheme="minorEastAsia" w:hAnsiTheme="minorEastAsia" w:eastAsiaTheme="minorEastAsia"/>
          <w:color w:val="000000"/>
          <w:sz w:val="28"/>
          <w:szCs w:val="28"/>
        </w:rPr>
      </w:r>
    </w:p>
    <w:p>
      <w:pPr>
        <w:pBdr/>
        <w:spacing/>
        <w:ind/>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r>
      <w:r>
        <w:rPr>
          <w:rFonts w:asciiTheme="minorEastAsia" w:hAnsiTheme="minorEastAsia" w:eastAsiaTheme="minorEastAsia"/>
          <w:color w:val="000000"/>
          <w:sz w:val="28"/>
          <w:szCs w:val="28"/>
        </w:rPr>
      </w:r>
    </w:p>
    <w:p>
      <w:pPr>
        <w:pBdr/>
        <w:spacing/>
        <w:ind/>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承包方</w:t>
      </w:r>
      <w:r>
        <w:rPr>
          <w:rFonts w:hint="eastAsia" w:asciiTheme="minorEastAsia" w:hAnsiTheme="minorEastAsia" w:eastAsiaTheme="minorEastAsia"/>
          <w:color w:val="000000"/>
          <w:sz w:val="28"/>
          <w:szCs w:val="28"/>
        </w:rPr>
        <w:t xml:space="preserve">(</w:t>
      </w:r>
      <w:r>
        <w:rPr>
          <w:rFonts w:hint="eastAsia" w:asciiTheme="minorEastAsia" w:hAnsiTheme="minorEastAsia" w:eastAsiaTheme="minorEastAsia"/>
          <w:color w:val="000000"/>
          <w:sz w:val="28"/>
          <w:szCs w:val="28"/>
        </w:rPr>
        <w:t xml:space="preserve">以下简称乙方</w:t>
      </w:r>
      <w:r>
        <w:rPr>
          <w:rFonts w:hint="eastAsia" w:asciiTheme="minorEastAsia" w:hAnsiTheme="minorEastAsia" w:eastAsiaTheme="minorEastAsia"/>
          <w:color w:val="000000"/>
          <w:sz w:val="28"/>
          <w:szCs w:val="28"/>
        </w:rPr>
        <w:t xml:space="preserve">):*</w:t>
      </w:r>
      <w:r>
        <w:rPr>
          <w:rFonts w:asciiTheme="minorEastAsia" w:hAnsiTheme="minorEastAsia" w:eastAsiaTheme="minorEastAsia"/>
          <w:color w:val="000000"/>
          <w:sz w:val="28"/>
          <w:szCs w:val="28"/>
        </w:rPr>
        <w:t xml:space="preserve">*********</w:t>
      </w:r>
      <w:r>
        <w:rPr>
          <w:rFonts w:hint="eastAsia" w:asciiTheme="minorEastAsia" w:hAnsiTheme="minorEastAsia" w:eastAsiaTheme="minorEastAsia"/>
          <w:sz w:val="28"/>
          <w:szCs w:val="28"/>
        </w:rPr>
        <w:t xml:space="preserve"> </w:t>
      </w:r>
      <w:r>
        <w:rPr>
          <w:rFonts w:asciiTheme="minorEastAsia" w:hAnsiTheme="minorEastAsia" w:eastAsiaTheme="minorEastAsia"/>
          <w:color w:val="000000"/>
          <w:sz w:val="28"/>
          <w:szCs w:val="28"/>
        </w:rPr>
      </w:r>
    </w:p>
    <w:p>
      <w:pPr>
        <w:pBdr/>
        <w:spacing/>
        <w:ind/>
        <w:jc w:val="left"/>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依照《中华人民共和国民法典》及其他有关法律、法规的规定，结合上海立信会计金融学院修缮工程的特点，甲、乙双方在平等自愿、协商一致及《</w:t>
      </w:r>
      <w:r>
        <w:rPr>
          <w:rFonts w:hint="eastAsia" w:asciiTheme="minorEastAsia" w:hAnsiTheme="minorEastAsia" w:eastAsiaTheme="minorEastAsia"/>
          <w:sz w:val="28"/>
          <w:szCs w:val="28"/>
        </w:rPr>
        <w:t xml:space="preserve">2023-2025</w:t>
      </w:r>
      <w:r>
        <w:rPr>
          <w:rFonts w:hint="eastAsia" w:asciiTheme="minorEastAsia" w:hAnsiTheme="minorEastAsia" w:eastAsiaTheme="minorEastAsia"/>
          <w:sz w:val="28"/>
          <w:szCs w:val="28"/>
        </w:rPr>
        <w:t xml:space="preserve">年度零星修缮工程及应急抢修工程储备库协议》的基础上，达成如下协议：</w:t>
      </w:r>
      <w:r>
        <w:rPr>
          <w:rFonts w:asciiTheme="minorEastAsia" w:hAnsiTheme="minorEastAsia" w:eastAsiaTheme="minorEastAsia"/>
          <w:sz w:val="28"/>
          <w:szCs w:val="28"/>
        </w:rPr>
      </w:r>
    </w:p>
    <w:p>
      <w:pPr>
        <w:pBdr/>
        <w:spacing w:line="480" w:lineRule="exact"/>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一、</w:t>
      </w:r>
      <w:r>
        <w:rPr>
          <w:rFonts w:hint="eastAsia"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 xml:space="preserve">工程概况</w:t>
      </w:r>
      <w:r>
        <w:rPr>
          <w:rFonts w:asciiTheme="minorEastAsia" w:hAnsiTheme="minorEastAsia" w:eastAsiaTheme="minorEastAsia"/>
          <w:b/>
          <w:bCs/>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、工程名称：</w:t>
      </w:r>
      <w:r>
        <w:rPr>
          <w:rFonts w:hint="eastAsia" w:asciiTheme="minorEastAsia" w:hAnsiTheme="minorEastAsia" w:eastAsiaTheme="minorEastAsia"/>
          <w:sz w:val="28"/>
          <w:szCs w:val="28"/>
          <w:u w:val="single"/>
        </w:rPr>
        <w:t xml:space="preserve">上川路校区</w:t>
      </w:r>
      <w:r>
        <w:rPr>
          <w:rFonts w:hint="eastAsia" w:asciiTheme="minorEastAsia" w:hAnsiTheme="minorEastAsia" w:eastAsiaTheme="minorEastAsia"/>
          <w:sz w:val="28"/>
          <w:szCs w:val="28"/>
          <w:u w:val="single"/>
        </w:rPr>
        <w:t xml:space="preserve">****</w:t>
      </w:r>
      <w:r>
        <w:rPr>
          <w:rFonts w:hint="eastAsia" w:asciiTheme="minorEastAsia" w:hAnsiTheme="minorEastAsia" w:eastAsiaTheme="minorEastAsia"/>
          <w:sz w:val="28"/>
          <w:szCs w:val="28"/>
          <w:u w:val="single"/>
        </w:rPr>
        <w:t xml:space="preserve">工程</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、工程地点：</w:t>
      </w:r>
      <w:r>
        <w:rPr>
          <w:rFonts w:hint="eastAsia" w:asciiTheme="minorEastAsia" w:hAnsiTheme="minorEastAsia" w:eastAsiaTheme="minorEastAsia"/>
          <w:sz w:val="28"/>
          <w:szCs w:val="28"/>
          <w:u w:val="single"/>
        </w:rPr>
        <w:t xml:space="preserve">上海立信会计金融学院上川路校区</w:t>
      </w:r>
      <w:r>
        <w:rPr>
          <w:rFonts w:asciiTheme="minorEastAsia" w:hAnsiTheme="minorEastAsia" w:eastAsiaTheme="minorEastAsia"/>
          <w:sz w:val="28"/>
          <w:szCs w:val="28"/>
          <w:u w:val="single"/>
        </w:rPr>
      </w:r>
    </w:p>
    <w:p>
      <w:pPr>
        <w:pBdr/>
        <w:spacing w:line="480" w:lineRule="exact"/>
        <w:ind w:firstLine="56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、施工部位：</w:t>
      </w:r>
      <w:r>
        <w:rPr>
          <w:rFonts w:hint="eastAsia" w:asciiTheme="minorEastAsia" w:hAnsiTheme="minorEastAsia" w:eastAsiaTheme="minorEastAsia"/>
          <w:sz w:val="28"/>
          <w:szCs w:val="28"/>
          <w:u w:val="single"/>
        </w:rPr>
        <w:t xml:space="preserve">上川路校区</w:t>
      </w:r>
      <w:r>
        <w:rPr>
          <w:rFonts w:hint="eastAsia" w:asciiTheme="minorEastAsia" w:hAnsiTheme="minorEastAsia" w:eastAsiaTheme="minorEastAsia"/>
          <w:sz w:val="28"/>
          <w:szCs w:val="28"/>
          <w:u w:val="single"/>
        </w:rPr>
        <w:t xml:space="preserve">****</w:t>
      </w:r>
      <w:r>
        <w:rPr>
          <w:rFonts w:asciiTheme="minorEastAsia" w:hAnsiTheme="minorEastAsia" w:eastAsiaTheme="minorEastAsia"/>
          <w:sz w:val="28"/>
          <w:szCs w:val="28"/>
          <w:u w:val="single"/>
        </w:rPr>
      </w:r>
    </w:p>
    <w:p>
      <w:pPr>
        <w:pBdr/>
        <w:spacing w:line="480" w:lineRule="exact"/>
        <w:ind w:firstLine="562"/>
        <w:rPr>
          <w:rFonts w:asciiTheme="minorEastAsia" w:hAnsiTheme="minorEastAsia" w:eastAsiaTheme="minorEastAsia"/>
          <w:sz w:val="28"/>
          <w:szCs w:val="28"/>
        </w:rPr>
      </w:pPr>
      <w:r>
        <w:rPr>
          <w:rFonts w:hint="eastAsia" w:asciiTheme="minorEastAsia" w:hAnsiTheme="minorEastAsia" w:eastAsiaTheme="minorEastAsia"/>
          <w:b/>
          <w:sz w:val="28"/>
          <w:szCs w:val="28"/>
        </w:rPr>
        <w:t xml:space="preserve">二、工程承包方式</w:t>
      </w:r>
      <w:r>
        <w:rPr>
          <w:rFonts w:asciiTheme="minorEastAsia" w:hAnsiTheme="minorEastAsia" w:eastAsiaTheme="minorEastAsia"/>
          <w:sz w:val="28"/>
          <w:szCs w:val="28"/>
        </w:rPr>
      </w:r>
    </w:p>
    <w:p>
      <w:pPr>
        <w:pBdr/>
        <w:spacing/>
        <w:ind w:firstLine="560"/>
        <w:rPr>
          <w:rFonts w:asciiTheme="minorEastAsia" w:hAnsiTheme="minorEastAsia" w:eastAsiaTheme="minorEastAsia"/>
          <w:color w:val="000000" w:themeColor="text1"/>
          <w:sz w:val="28"/>
          <w:szCs w:val="28"/>
          <w:u w:val="single"/>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、工程承包内容：</w:t>
      </w:r>
      <w:r>
        <w:rPr>
          <w:rFonts w:hint="eastAsia" w:asciiTheme="minorEastAsia" w:hAnsiTheme="minorEastAsia" w:eastAsiaTheme="minorEastAsia"/>
          <w:sz w:val="28"/>
          <w:szCs w:val="28"/>
          <w:u w:val="single"/>
        </w:rPr>
        <w:t xml:space="preserve">*</w:t>
      </w:r>
      <w:r>
        <w:rPr>
          <w:rFonts w:asciiTheme="minorEastAsia" w:hAnsiTheme="minorEastAsia" w:eastAsiaTheme="minorEastAsia"/>
          <w:sz w:val="28"/>
          <w:szCs w:val="28"/>
          <w:u w:val="single"/>
        </w:rPr>
        <w:t xml:space="preserve">*****</w:t>
      </w:r>
      <w:r>
        <w:rPr>
          <w:rFonts w:hint="eastAsia" w:asciiTheme="minorEastAsia" w:hAnsiTheme="minorEastAsia" w:eastAsiaTheme="minorEastAsia"/>
          <w:color w:val="000000" w:themeColor="text1"/>
          <w:sz w:val="28"/>
          <w:szCs w:val="28"/>
          <w:u w:val="single"/>
        </w:rPr>
        <w:t xml:space="preserve">等</w:t>
      </w:r>
      <w:r>
        <w:rPr>
          <w:rFonts w:hint="eastAsia" w:asciiTheme="minorEastAsia" w:hAnsiTheme="minorEastAsia" w:eastAsiaTheme="minorEastAsia"/>
          <w:color w:val="000000" w:themeColor="text1"/>
          <w:sz w:val="28"/>
          <w:szCs w:val="28"/>
        </w:rPr>
        <w:t xml:space="preserve">，</w:t>
      </w:r>
      <w:r>
        <w:rPr>
          <w:rFonts w:hint="eastAsia" w:asciiTheme="minorEastAsia" w:hAnsiTheme="minorEastAsia" w:eastAsiaTheme="minorEastAsia"/>
          <w:sz w:val="28"/>
          <w:szCs w:val="28"/>
        </w:rPr>
        <w:t xml:space="preserve">详见工程量清单投标报价表。</w:t>
      </w:r>
      <w:r>
        <w:rPr>
          <w:rFonts w:asciiTheme="minorEastAsia" w:hAnsiTheme="minorEastAsia" w:eastAsiaTheme="minorEastAsia"/>
          <w:color w:val="000000" w:themeColor="text1"/>
          <w:sz w:val="28"/>
          <w:szCs w:val="28"/>
          <w:u w:val="single"/>
        </w:rPr>
      </w:r>
    </w:p>
    <w:p>
      <w:pPr>
        <w:pBdr/>
        <w:spacing w:line="480" w:lineRule="exact"/>
        <w:ind w:firstLine="56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、工程承包方式：</w:t>
      </w:r>
      <w:r>
        <w:rPr>
          <w:rFonts w:hint="eastAsia" w:asciiTheme="minorEastAsia" w:hAnsiTheme="minorEastAsia" w:eastAsiaTheme="minorEastAsia"/>
          <w:sz w:val="28"/>
          <w:szCs w:val="28"/>
          <w:u w:val="single"/>
        </w:rPr>
        <w:t xml:space="preserve">采取包工包料方式</w:t>
      </w:r>
      <w:r>
        <w:rPr>
          <w:rFonts w:asciiTheme="minorEastAsia" w:hAnsiTheme="minorEastAsia" w:eastAsiaTheme="minorEastAsia"/>
          <w:sz w:val="28"/>
          <w:szCs w:val="28"/>
          <w:u w:val="single"/>
        </w:rPr>
      </w:r>
    </w:p>
    <w:p>
      <w:pPr>
        <w:pBdr/>
        <w:spacing w:line="48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三、开竣工日期</w:t>
      </w:r>
      <w:r>
        <w:rPr>
          <w:rFonts w:asciiTheme="minorEastAsia" w:hAnsiTheme="minorEastAsia" w:eastAsiaTheme="minorEastAsia"/>
          <w:b/>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开工日期以甲方通知为准，总工期</w:t>
      </w:r>
      <w:r>
        <w:rPr>
          <w:rFonts w:asciiTheme="minorEastAsia" w:hAnsiTheme="minorEastAsia" w:eastAsiaTheme="minorEastAsia"/>
          <w:sz w:val="28"/>
          <w:szCs w:val="28"/>
        </w:rPr>
        <w:t xml:space="preserve">30</w:t>
      </w:r>
      <w:r>
        <w:rPr>
          <w:rFonts w:asciiTheme="minorEastAsia" w:hAnsiTheme="minorEastAsia" w:eastAsiaTheme="minorEastAsia"/>
          <w:sz w:val="28"/>
          <w:szCs w:val="28"/>
        </w:rPr>
        <w:t xml:space="preserve">天</w:t>
      </w:r>
      <w:r>
        <w:rPr>
          <w:rFonts w:hint="eastAsia" w:asciiTheme="minorEastAsia" w:hAnsiTheme="minorEastAsia" w:eastAsiaTheme="minorEastAsia"/>
          <w:sz w:val="28"/>
          <w:szCs w:val="28"/>
        </w:rPr>
        <w:t xml:space="preserve">。</w:t>
      </w:r>
      <w:r>
        <w:rPr>
          <w:rFonts w:asciiTheme="minorEastAsia" w:hAnsiTheme="minorEastAsia" w:eastAsiaTheme="minorEastAsia"/>
          <w:sz w:val="28"/>
          <w:szCs w:val="28"/>
        </w:rPr>
      </w:r>
    </w:p>
    <w:p>
      <w:pPr>
        <w:pBdr/>
        <w:spacing w:line="480" w:lineRule="exact"/>
        <w:ind w:firstLine="551"/>
        <w:rPr>
          <w:rFonts w:ascii="宋体" w:hAnsi="宋体"/>
          <w:b/>
          <w:sz w:val="28"/>
          <w:szCs w:val="28"/>
        </w:rPr>
      </w:pPr>
      <w:r>
        <w:rPr>
          <w:rFonts w:hint="eastAsia" w:ascii="宋体" w:hAnsi="宋体"/>
          <w:b/>
          <w:sz w:val="28"/>
          <w:szCs w:val="28"/>
        </w:rPr>
        <w:t xml:space="preserve">四、质量标准</w:t>
      </w:r>
      <w:r>
        <w:rPr>
          <w:rFonts w:ascii="宋体" w:hAnsi="宋体"/>
          <w:b/>
          <w:sz w:val="28"/>
          <w:szCs w:val="28"/>
        </w:rPr>
      </w:r>
    </w:p>
    <w:p>
      <w:pPr>
        <w:pBdr/>
        <w:spacing w:line="480" w:lineRule="exact"/>
        <w:ind w:firstLine="560"/>
        <w:rPr>
          <w:rFonts w:ascii="宋体" w:hAnsi="宋体"/>
          <w:sz w:val="28"/>
          <w:szCs w:val="28"/>
        </w:rPr>
      </w:pPr>
      <w:r>
        <w:rPr>
          <w:rFonts w:hint="eastAsia" w:ascii="宋体" w:hAnsi="宋体"/>
          <w:sz w:val="28"/>
          <w:szCs w:val="28"/>
        </w:rPr>
        <w:t xml:space="preserve">工程质量标准：</w:t>
      </w:r>
      <w:r>
        <w:rPr>
          <w:rFonts w:hint="eastAsia" w:asciiTheme="minorEastAsia" w:hAnsiTheme="minorEastAsia" w:eastAsiaTheme="minorEastAsia"/>
          <w:sz w:val="28"/>
          <w:szCs w:val="28"/>
        </w:rPr>
        <w:t xml:space="preserve">符合国家施工验收规范规定的质量标准。因乙方原因造成工程质量未达到前述标准，甲方有权要求乙方返工直至工程质量达到前述标准为止，并由乙方承担由此增加的费用和（或）延误的工期。</w:t>
      </w:r>
      <w:r>
        <w:rPr>
          <w:rFonts w:ascii="宋体" w:hAnsi="宋体"/>
          <w:sz w:val="28"/>
          <w:szCs w:val="28"/>
        </w:rPr>
      </w:r>
    </w:p>
    <w:p>
      <w:pPr>
        <w:pBdr/>
        <w:spacing w:line="480" w:lineRule="exact"/>
        <w:ind w:firstLine="551"/>
        <w:rPr>
          <w:rFonts w:asciiTheme="minorEastAsia" w:hAnsiTheme="minorEastAsia" w:eastAsiaTheme="minorEastAsia"/>
          <w:b/>
          <w:sz w:val="28"/>
          <w:szCs w:val="28"/>
        </w:rPr>
      </w:pPr>
      <w:r>
        <w:rPr>
          <w:rFonts w:hint="eastAsia" w:ascii="宋体" w:hAnsi="宋体"/>
          <w:b/>
          <w:sz w:val="28"/>
          <w:szCs w:val="28"/>
        </w:rPr>
        <w:t xml:space="preserve">五、合同价款</w:t>
      </w:r>
      <w:r>
        <w:rPr>
          <w:rFonts w:asciiTheme="minorEastAsia" w:hAnsiTheme="minorEastAsia" w:eastAsiaTheme="minorEastAsia"/>
          <w:b/>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合同金额：本合同工程造价暂定为</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人民币</w:t>
      </w:r>
      <w:r>
        <w:rPr>
          <w:rFonts w:hint="eastAsia" w:asciiTheme="minorEastAsia" w:hAnsiTheme="minorEastAsia" w:eastAsiaTheme="minorEastAsia"/>
          <w:sz w:val="28"/>
          <w:szCs w:val="28"/>
        </w:rPr>
        <w:t xml:space="preserve">)</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元，金额大写：</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（具体金额以甲方竣工审价结果为准）。</w:t>
      </w:r>
      <w:r>
        <w:rPr>
          <w:rFonts w:asciiTheme="minorEastAsia" w:hAnsiTheme="minorEastAsia" w:eastAsiaTheme="minorEastAsia"/>
          <w:sz w:val="28"/>
          <w:szCs w:val="28"/>
        </w:rPr>
      </w:r>
    </w:p>
    <w:p>
      <w:pPr>
        <w:pBdr/>
        <w:spacing w:line="480" w:lineRule="exact"/>
        <w:ind w:firstLine="562"/>
        <w:rPr>
          <w:rFonts w:ascii="宋体" w:hAnsi="宋体"/>
          <w:b/>
          <w:bCs/>
          <w:color w:val="00b050"/>
          <w:sz w:val="28"/>
          <w:szCs w:val="28"/>
        </w:rPr>
      </w:pPr>
      <w:r>
        <w:rPr>
          <w:rFonts w:hint="eastAsia" w:asciiTheme="minorEastAsia" w:hAnsiTheme="minorEastAsia" w:eastAsiaTheme="minorEastAsia"/>
          <w:b/>
          <w:bCs/>
          <w:sz w:val="28"/>
          <w:szCs w:val="28"/>
        </w:rPr>
        <w:t xml:space="preserve">六、结算依据</w:t>
      </w:r>
      <w:r>
        <w:rPr>
          <w:rFonts w:ascii="宋体" w:hAnsi="宋体"/>
          <w:b/>
          <w:bCs/>
          <w:color w:val="00b050"/>
          <w:sz w:val="28"/>
          <w:szCs w:val="28"/>
        </w:rPr>
      </w:r>
    </w:p>
    <w:p>
      <w:pPr>
        <w:pBdr/>
        <w:spacing w:line="480" w:lineRule="exact"/>
        <w:ind w:firstLine="560"/>
        <w:rPr>
          <w:rFonts w:cs="宋体" w:asciiTheme="minorEastAsia" w:hAnsi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w:t>
      </w:r>
      <w:r>
        <w:rPr>
          <w:rFonts w:hint="eastAsia" w:cs="宋体" w:asciiTheme="minorEastAsia" w:hAnsiTheme="minorEastAsia"/>
          <w:sz w:val="28"/>
          <w:szCs w:val="28"/>
        </w:rPr>
        <w:t xml:space="preserve">工程预（决）算执行《</w:t>
      </w:r>
      <w:r>
        <w:rPr>
          <w:rFonts w:hint="eastAsia" w:asciiTheme="minorEastAsia" w:hAnsiTheme="minorEastAsia"/>
          <w:sz w:val="28"/>
          <w:szCs w:val="28"/>
        </w:rPr>
        <w:t xml:space="preserve">建设工程工程量清单计价</w:t>
      </w:r>
      <w:r>
        <w:rPr>
          <w:rFonts w:hint="eastAsia" w:asciiTheme="minorEastAsia" w:hAnsiTheme="minorEastAsia"/>
          <w:sz w:val="28"/>
          <w:szCs w:val="28"/>
        </w:rPr>
        <w:t xml:space="preserve">标准</w:t>
      </w:r>
      <w:r>
        <w:rPr>
          <w:rFonts w:hint="eastAsia" w:asciiTheme="minorEastAsia" w:hAnsiTheme="minorEastAsia"/>
          <w:sz w:val="28"/>
          <w:szCs w:val="28"/>
        </w:rPr>
        <w:t xml:space="preserve">》</w:t>
      </w:r>
      <w:r>
        <w:rPr>
          <w:rFonts w:hint="eastAsia" w:asciiTheme="minorEastAsia" w:hAnsiTheme="minorEastAsia"/>
          <w:sz w:val="28"/>
          <w:szCs w:val="28"/>
        </w:rPr>
        <w:t xml:space="preserve">GB50500</w:t>
      </w:r>
      <w:r>
        <w:rPr>
          <w:rFonts w:hint="eastAsia" w:asciiTheme="minorEastAsia" w:hAnsiTheme="minorEastAsia"/>
          <w:sz w:val="28"/>
          <w:szCs w:val="28"/>
        </w:rPr>
        <w:t xml:space="preserve">－</w:t>
      </w:r>
      <w:r>
        <w:rPr>
          <w:rFonts w:hint="eastAsia" w:asciiTheme="minorEastAsia" w:hAnsiTheme="minorEastAsia"/>
          <w:sz w:val="28"/>
          <w:szCs w:val="28"/>
        </w:rPr>
        <w:t xml:space="preserve">2024</w:t>
      </w:r>
      <w:r>
        <w:rPr>
          <w:rFonts w:hint="eastAsia" w:asciiTheme="minorEastAsia" w:hAnsiTheme="minorEastAsia"/>
          <w:sz w:val="28"/>
          <w:szCs w:val="28"/>
        </w:rPr>
        <w:t xml:space="preserve">，消耗量参照《上海市建筑装饰工程预算定额（</w:t>
      </w:r>
      <w:r>
        <w:rPr>
          <w:rFonts w:hint="eastAsia" w:asciiTheme="minorEastAsia" w:hAnsiTheme="minorEastAsia"/>
          <w:sz w:val="28"/>
          <w:szCs w:val="28"/>
        </w:rPr>
        <w:t xml:space="preserve">2016</w:t>
      </w:r>
      <w:r>
        <w:rPr>
          <w:rFonts w:hint="eastAsia" w:asciiTheme="minorEastAsia" w:hAnsiTheme="minorEastAsia"/>
          <w:sz w:val="28"/>
          <w:szCs w:val="28"/>
        </w:rPr>
        <w:t xml:space="preserve">）》、《上海市安装工程预算定额（</w:t>
      </w:r>
      <w:r>
        <w:rPr>
          <w:rFonts w:hint="eastAsia" w:asciiTheme="minorEastAsia" w:hAnsiTheme="minorEastAsia"/>
          <w:sz w:val="28"/>
          <w:szCs w:val="28"/>
        </w:rPr>
        <w:t xml:space="preserve">2016</w:t>
      </w:r>
      <w:r>
        <w:rPr>
          <w:rFonts w:hint="eastAsia" w:asciiTheme="minorEastAsia" w:hAnsiTheme="minorEastAsia"/>
          <w:sz w:val="28"/>
          <w:szCs w:val="28"/>
        </w:rPr>
        <w:t xml:space="preserve">）》、《上海市房屋修缮工程工程预算定额（</w:t>
      </w:r>
      <w:r>
        <w:rPr>
          <w:rFonts w:hint="eastAsia" w:asciiTheme="minorEastAsia" w:hAnsiTheme="minorEastAsia"/>
          <w:sz w:val="28"/>
          <w:szCs w:val="28"/>
        </w:rPr>
        <w:t xml:space="preserve">2016</w:t>
      </w:r>
      <w:r>
        <w:rPr>
          <w:rFonts w:hint="eastAsia" w:asciiTheme="minorEastAsia" w:hAnsiTheme="minorEastAsia"/>
          <w:sz w:val="28"/>
          <w:szCs w:val="28"/>
        </w:rPr>
        <w:t xml:space="preserve">）》、《上海市市政工程预算定额（</w:t>
      </w:r>
      <w:r>
        <w:rPr>
          <w:rFonts w:hint="eastAsia" w:asciiTheme="minorEastAsia" w:hAnsiTheme="minorEastAsia"/>
          <w:sz w:val="28"/>
          <w:szCs w:val="28"/>
        </w:rPr>
        <w:t xml:space="preserve">2016</w:t>
      </w:r>
      <w:r>
        <w:rPr>
          <w:rFonts w:hint="eastAsia" w:asciiTheme="minorEastAsia" w:hAnsiTheme="minorEastAsia"/>
          <w:sz w:val="28"/>
          <w:szCs w:val="28"/>
        </w:rPr>
        <w:t xml:space="preserve">）》等相关规定。</w:t>
      </w:r>
      <w:r>
        <w:rPr>
          <w:rFonts w:cs="宋体" w:asciiTheme="minorEastAsia" w:hAnsi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、工程量结算由审计处委派的审价机构根据竣工图、竣工示意图、结合现场实际情况，按实计算，以现场测量为准。</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bookmarkStart w:id="0" w:name="_GoBack"/>
      <w:r>
        <w:rPr>
          <w:rFonts w:hint="eastAsia" w:asciiTheme="minorEastAsia" w:hAnsiTheme="minorEastAsia" w:eastAsiaTheme="minorEastAsia"/>
          <w:sz w:val="28"/>
          <w:szCs w:val="28"/>
        </w:rPr>
        <w:t xml:space="preserve">3</w:t>
      </w:r>
      <w:r>
        <w:rPr>
          <w:rFonts w:asciiTheme="minorEastAsia" w:hAnsiTheme="minorEastAsia" w:eastAsiaTheme="minorEastAsia"/>
          <w:sz w:val="28"/>
          <w:szCs w:val="28"/>
        </w:rPr>
        <w:t xml:space="preserve">、本合同采用固定单价方式结算，</w:t>
      </w:r>
      <w:r>
        <w:rPr>
          <w:rFonts w:hint="eastAsia" w:asciiTheme="minorEastAsia" w:hAnsiTheme="minorEastAsia" w:eastAsiaTheme="minorEastAsia"/>
          <w:sz w:val="28"/>
          <w:szCs w:val="28"/>
        </w:rPr>
        <w:t xml:space="preserve">总价措施费、规费按照投标报价的费率计取。</w:t>
      </w:r>
      <w:bookmarkEnd w:id="0"/>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w:t>
      </w:r>
      <w:r>
        <w:rPr>
          <w:rFonts w:hint="eastAsia" w:asciiTheme="minorEastAsia" w:hAnsiTheme="minorEastAsia" w:eastAsiaTheme="minorEastAsia"/>
          <w:sz w:val="28"/>
          <w:szCs w:val="28"/>
        </w:rPr>
        <w:t xml:space="preserve">、工程款最终</w:t>
      </w:r>
      <w:r>
        <w:rPr>
          <w:rFonts w:hint="eastAsia" w:asciiTheme="minorEastAsia" w:hAnsiTheme="minorEastAsia"/>
          <w:sz w:val="28"/>
          <w:szCs w:val="28"/>
        </w:rPr>
        <w:t xml:space="preserve">按审定价下浮</w:t>
      </w:r>
      <w:r>
        <w:rPr>
          <w:rFonts w:asciiTheme="minorEastAsia" w:hAnsiTheme="minorEastAsia"/>
          <w:sz w:val="28"/>
          <w:szCs w:val="28"/>
        </w:rPr>
        <w:t xml:space="preserve">3.68</w:t>
      </w:r>
      <w:r>
        <w:rPr>
          <w:rFonts w:hint="eastAsia" w:asciiTheme="minorEastAsia" w:hAnsiTheme="minorEastAsia"/>
          <w:sz w:val="28"/>
          <w:szCs w:val="28"/>
        </w:rPr>
        <w:t xml:space="preserve">%</w:t>
      </w:r>
      <w:r>
        <w:rPr>
          <w:rFonts w:hint="eastAsia" w:asciiTheme="minorEastAsia" w:hAnsiTheme="minorEastAsia"/>
          <w:sz w:val="28"/>
          <w:szCs w:val="28"/>
        </w:rPr>
        <w:t xml:space="preserve">结算</w:t>
      </w:r>
      <w:r>
        <w:rPr>
          <w:rFonts w:hint="eastAsia" w:asciiTheme="minorEastAsia" w:hAnsiTheme="minorEastAsia" w:eastAsiaTheme="minorEastAsia"/>
          <w:sz w:val="28"/>
          <w:szCs w:val="28"/>
        </w:rPr>
        <w:t xml:space="preserve">。</w:t>
      </w:r>
      <w:r>
        <w:rPr>
          <w:rFonts w:asciiTheme="minorEastAsia" w:hAnsiTheme="minorEastAsia" w:eastAsiaTheme="minorEastAsia"/>
          <w:sz w:val="28"/>
          <w:szCs w:val="28"/>
        </w:rPr>
      </w:r>
    </w:p>
    <w:p>
      <w:pPr>
        <w:pBdr/>
        <w:spacing w:line="480" w:lineRule="exact"/>
        <w:ind w:firstLine="56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七、相关费率标准</w:t>
      </w:r>
      <w:r>
        <w:rPr>
          <w:rFonts w:asciiTheme="minorEastAsia" w:hAnsiTheme="minorEastAsia" w:eastAsiaTheme="minorEastAsia"/>
          <w:b/>
          <w:bCs/>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房屋修缮工程综合费率、建筑装饰综合费率、安装工程综合费率、市政工程综合费率、安全文明措施费、人工费、税后总价下浮率等计算标准按照上海立信会计金融学院</w:t>
      </w:r>
      <w:r>
        <w:rPr>
          <w:rFonts w:hint="eastAsia" w:asciiTheme="minorEastAsia" w:hAnsiTheme="minorEastAsia" w:eastAsiaTheme="minorEastAsia"/>
          <w:sz w:val="28"/>
          <w:szCs w:val="28"/>
        </w:rPr>
        <w:t xml:space="preserve">2023-2025</w:t>
      </w:r>
      <w:r>
        <w:rPr>
          <w:rFonts w:hint="eastAsia" w:asciiTheme="minorEastAsia" w:hAnsiTheme="minorEastAsia" w:eastAsiaTheme="minorEastAsia"/>
          <w:sz w:val="28"/>
          <w:szCs w:val="28"/>
        </w:rPr>
        <w:t xml:space="preserve">年度零星修缮工程及应急抢修工程储备库招标相应费率，</w:t>
      </w:r>
      <w:r>
        <w:rPr>
          <w:rFonts w:asciiTheme="minorEastAsia" w:hAnsiTheme="minorEastAsia" w:eastAsiaTheme="minorEastAsia"/>
          <w:sz w:val="28"/>
          <w:szCs w:val="28"/>
        </w:rPr>
        <w:t xml:space="preserve">具体如下：</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bookmarkStart w:id="1" w:name="_Hlk25076816"/>
      <w:r>
        <w:rPr>
          <w:rFonts w:hint="eastAsia" w:asciiTheme="minorEastAsia" w:hAnsiTheme="minorEastAsia" w:eastAsiaTheme="minorEastAsia"/>
          <w:sz w:val="28"/>
          <w:szCs w:val="28"/>
        </w:rPr>
        <w:t xml:space="preserve">a</w:t>
      </w:r>
      <w:r>
        <w:rPr>
          <w:rFonts w:hint="eastAsia" w:asciiTheme="minorEastAsia" w:hAnsiTheme="minorEastAsia" w:eastAsiaTheme="minorEastAsia"/>
          <w:sz w:val="28"/>
          <w:szCs w:val="28"/>
        </w:rPr>
        <w:t xml:space="preserve">、企业管理费和利润：参照“沪建标定〔</w:t>
      </w:r>
      <w:r>
        <w:rPr>
          <w:rFonts w:hint="eastAsia" w:asciiTheme="minorEastAsia" w:hAnsiTheme="minorEastAsia" w:eastAsiaTheme="minorEastAsia"/>
          <w:sz w:val="28"/>
          <w:szCs w:val="28"/>
        </w:rPr>
        <w:t xml:space="preserve">2023</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486</w:t>
      </w:r>
      <w:r>
        <w:rPr>
          <w:rFonts w:hint="eastAsia" w:asciiTheme="minorEastAsia" w:hAnsiTheme="minorEastAsia" w:eastAsiaTheme="minorEastAsia"/>
          <w:sz w:val="28"/>
          <w:szCs w:val="28"/>
        </w:rPr>
        <w:t xml:space="preserve">号”文件计值；</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b</w:t>
      </w:r>
      <w:r>
        <w:rPr>
          <w:rFonts w:hint="eastAsia" w:asciiTheme="minorEastAsia" w:hAnsiTheme="minorEastAsia" w:eastAsiaTheme="minorEastAsia"/>
          <w:sz w:val="28"/>
          <w:szCs w:val="28"/>
        </w:rPr>
        <w:t xml:space="preserve">、安全文明措施费率：参照“沪建标定〔</w:t>
      </w:r>
      <w:r>
        <w:rPr>
          <w:rFonts w:hint="eastAsia" w:asciiTheme="minorEastAsia" w:hAnsiTheme="minorEastAsia" w:eastAsiaTheme="minorEastAsia"/>
          <w:sz w:val="28"/>
          <w:szCs w:val="28"/>
        </w:rPr>
        <w:t xml:space="preserve">2023</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486</w:t>
      </w:r>
      <w:r>
        <w:rPr>
          <w:rFonts w:hint="eastAsia" w:asciiTheme="minorEastAsia" w:hAnsiTheme="minorEastAsia" w:eastAsiaTheme="minorEastAsia"/>
          <w:sz w:val="28"/>
          <w:szCs w:val="28"/>
        </w:rPr>
        <w:t xml:space="preserve">号”文件计值；</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c</w:t>
      </w:r>
      <w:r>
        <w:rPr>
          <w:rFonts w:hint="eastAsia" w:asciiTheme="minorEastAsia" w:hAnsiTheme="minorEastAsia" w:eastAsiaTheme="minorEastAsia"/>
          <w:sz w:val="28"/>
          <w:szCs w:val="28"/>
        </w:rPr>
        <w:t xml:space="preserve">、增值税：参照“沪建标定〔</w:t>
      </w:r>
      <w:r>
        <w:rPr>
          <w:rFonts w:hint="eastAsia" w:asciiTheme="minorEastAsia" w:hAnsiTheme="minorEastAsia" w:eastAsiaTheme="minorEastAsia"/>
          <w:sz w:val="28"/>
          <w:szCs w:val="28"/>
        </w:rPr>
        <w:t xml:space="preserve">2019</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176 </w:t>
      </w:r>
      <w:r>
        <w:rPr>
          <w:rFonts w:hint="eastAsia" w:asciiTheme="minorEastAsia" w:hAnsiTheme="minorEastAsia" w:eastAsiaTheme="minorEastAsia"/>
          <w:sz w:val="28"/>
          <w:szCs w:val="28"/>
        </w:rPr>
        <w:t xml:space="preserve">号”按</w:t>
      </w:r>
      <w:r>
        <w:rPr>
          <w:rFonts w:hint="eastAsia" w:asciiTheme="minorEastAsia" w:hAnsiTheme="minorEastAsia" w:eastAsiaTheme="minorEastAsia"/>
          <w:sz w:val="28"/>
          <w:szCs w:val="28"/>
        </w:rPr>
        <w:t xml:space="preserve">9%</w:t>
      </w:r>
      <w:r>
        <w:rPr>
          <w:rFonts w:hint="eastAsia" w:asciiTheme="minorEastAsia" w:hAnsiTheme="minorEastAsia" w:eastAsiaTheme="minorEastAsia"/>
          <w:sz w:val="28"/>
          <w:szCs w:val="28"/>
        </w:rPr>
        <w:t xml:space="preserve">计取，合同期内如有新的增值税文件按新的增值税文件执行。</w:t>
      </w:r>
      <w:r>
        <w:rPr>
          <w:rFonts w:asciiTheme="minorEastAsia" w:hAnsiTheme="minorEastAsia" w:eastAsiaTheme="minorEastAsia"/>
          <w:sz w:val="28"/>
          <w:szCs w:val="28"/>
        </w:rPr>
      </w:r>
    </w:p>
    <w:p>
      <w:pPr>
        <w:pBdr/>
        <w:spacing/>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d</w:t>
      </w:r>
      <w:r>
        <w:rPr>
          <w:rFonts w:hint="eastAsia" w:asciiTheme="minorEastAsia" w:hAnsiTheme="minorEastAsia" w:eastAsiaTheme="minorEastAsia"/>
          <w:sz w:val="28"/>
          <w:szCs w:val="28"/>
        </w:rPr>
        <w:t xml:space="preserve">、垃圾外运费按发车单结算</w:t>
      </w:r>
      <w:r>
        <w:rPr>
          <w:rFonts w:hint="eastAsia" w:asciiTheme="minorEastAsia" w:hAnsiTheme="minorEastAsia" w:eastAsiaTheme="minorEastAsia"/>
          <w:sz w:val="28"/>
          <w:szCs w:val="28"/>
        </w:rPr>
        <w:t xml:space="preserve">10</w:t>
      </w:r>
      <w:r>
        <w:rPr>
          <w:rFonts w:hint="eastAsia" w:asciiTheme="minorEastAsia" w:hAnsiTheme="minorEastAsia" w:eastAsiaTheme="minorEastAsia"/>
          <w:sz w:val="28"/>
          <w:szCs w:val="28"/>
        </w:rPr>
        <w:t xml:space="preserve">吨</w:t>
      </w:r>
      <w:r>
        <w:rPr>
          <w:rFonts w:hint="eastAsia" w:asciiTheme="minorEastAsia" w:hAnsiTheme="minorEastAsia" w:eastAsiaTheme="minorEastAsia"/>
          <w:sz w:val="28"/>
          <w:szCs w:val="28"/>
        </w:rPr>
        <w:t xml:space="preserve">1000</w:t>
      </w:r>
      <w:r>
        <w:rPr>
          <w:rFonts w:hint="eastAsia" w:asciiTheme="minorEastAsia" w:hAnsiTheme="minorEastAsia" w:eastAsiaTheme="minorEastAsia"/>
          <w:sz w:val="28"/>
          <w:szCs w:val="28"/>
        </w:rPr>
        <w:t xml:space="preserve">元计取，计入税后补差。</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如上海市出台相关规定则相应调整。</w:t>
      </w:r>
      <w:bookmarkEnd w:id="1"/>
      <w:r>
        <w:rPr>
          <w:rFonts w:asciiTheme="minorEastAsia" w:hAnsiTheme="minorEastAsia" w:eastAsiaTheme="minorEastAsia"/>
          <w:sz w:val="28"/>
          <w:szCs w:val="28"/>
        </w:rPr>
      </w:r>
    </w:p>
    <w:p>
      <w:pPr>
        <w:pBdr/>
        <w:spacing/>
        <w:ind w:firstLine="55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八、合同组成部分</w:t>
      </w:r>
      <w:r>
        <w:rPr>
          <w:rFonts w:asciiTheme="minorEastAsia" w:hAnsiTheme="minorEastAsia" w:eastAsiaTheme="minorEastAsia"/>
          <w:b/>
          <w:bCs/>
          <w:sz w:val="28"/>
          <w:szCs w:val="28"/>
        </w:rPr>
      </w:r>
    </w:p>
    <w:p>
      <w:pPr>
        <w:pBdr/>
        <w:spacing/>
        <w:ind w:firstLine="549"/>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、工程量清单投标报价表（详见合同附件一）</w:t>
      </w:r>
      <w:r>
        <w:rPr>
          <w:rFonts w:asciiTheme="minorEastAsia" w:hAnsiTheme="minorEastAsia" w:eastAsiaTheme="minorEastAsia"/>
          <w:sz w:val="28"/>
          <w:szCs w:val="28"/>
        </w:rPr>
      </w:r>
    </w:p>
    <w:p>
      <w:pPr>
        <w:pBdr/>
        <w:spacing w:line="48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九、甲方责任及义务</w:t>
      </w:r>
      <w:r>
        <w:rPr>
          <w:rFonts w:asciiTheme="minorEastAsia" w:hAnsiTheme="minorEastAsia" w:eastAsiaTheme="minorEastAsia"/>
          <w:b/>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、开工三日前要为乙方入场施工创造条件</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以不影响施工为原则。</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、提供施工期间的水源、电源。</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、负责办理学校管理部门开工手续，负责协调乙方与学校各职</w:t>
      </w:r>
      <w:r>
        <w:rPr>
          <w:rFonts w:hint="eastAsia" w:asciiTheme="minorEastAsia" w:hAnsiTheme="minorEastAsia" w:eastAsiaTheme="minorEastAsia"/>
          <w:sz w:val="28"/>
          <w:szCs w:val="28"/>
        </w:rPr>
        <w:t xml:space="preserve">能部门的关系。</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w:t>
      </w:r>
      <w:r>
        <w:rPr>
          <w:rFonts w:hint="eastAsia" w:asciiTheme="minorEastAsia" w:hAnsiTheme="minorEastAsia" w:eastAsiaTheme="minorEastAsia"/>
          <w:sz w:val="28"/>
          <w:szCs w:val="28"/>
        </w:rPr>
        <w:t xml:space="preserve">、督促乙方遵守学校管理部门的各项规章制度。</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w:t>
      </w:r>
      <w:r>
        <w:rPr>
          <w:rFonts w:hint="eastAsia" w:asciiTheme="minorEastAsia" w:hAnsiTheme="minorEastAsia" w:eastAsiaTheme="minorEastAsia"/>
          <w:sz w:val="28"/>
          <w:szCs w:val="28"/>
        </w:rPr>
        <w:t xml:space="preserve">、负责工程质量施工进度的监督</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参加工程材料验收</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隐蔽工程验收、竣工验收。甲方有权自行或邀请有相关资质和经验的第三方对全部工程内容及其施工工艺、材料和工程设备进行检查和检验。乙方应为检查和检验提供方便，包括到施工现场进行察看和查阅施工原始记录。</w:t>
      </w:r>
      <w:r>
        <w:rPr>
          <w:rFonts w:asciiTheme="minorEastAsia" w:hAnsiTheme="minorEastAsia" w:eastAsiaTheme="minorEastAsia"/>
          <w:sz w:val="28"/>
          <w:szCs w:val="28"/>
        </w:rPr>
      </w:r>
    </w:p>
    <w:p>
      <w:pPr>
        <w:pBdr/>
        <w:spacing w:line="48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十、乙方责任及义务</w:t>
      </w:r>
      <w:r>
        <w:rPr>
          <w:rFonts w:asciiTheme="minorEastAsia" w:hAnsiTheme="minorEastAsia" w:eastAsiaTheme="minorEastAsia"/>
          <w:b/>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、施工中严格执行施工规范、质量标准、安全操作规程、防火规定、安全、保质、按期完成本合同约定的工</w:t>
      </w:r>
      <w:r>
        <w:rPr>
          <w:rFonts w:hint="eastAsia" w:asciiTheme="minorEastAsia" w:hAnsiTheme="minorEastAsia" w:eastAsiaTheme="minorEastAsia"/>
          <w:sz w:val="28"/>
          <w:szCs w:val="28"/>
        </w:rPr>
        <w:t xml:space="preserve">程内容。</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、按合同约定的工作内容和进度要求，编制设计、施工的组织和实施计划，保证项目进度计划的实现，并对所有设计、施工作业和施工方法，以及全部工程的完备性和安全可靠性负责。</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、按法律规定和合同约定采取安全文明施工、职业健康和环境保护措施，办理员工工伤保险等相关保险，确保工程及人员、材料、设备和设施的安全，防止因工程实施造成的人身伤害和财产损失。</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w:t>
      </w:r>
      <w:r>
        <w:rPr>
          <w:rFonts w:hint="eastAsia" w:asciiTheme="minorEastAsia" w:hAnsiTheme="minorEastAsia" w:eastAsiaTheme="minorEastAsia"/>
          <w:sz w:val="28"/>
          <w:szCs w:val="28"/>
        </w:rPr>
        <w:t xml:space="preserve">、乙方签订本合同视为乙方已经对现场和工程实施条件进行查勘，并充分了解工程所在地的气象条件、交通条件以及其他与完成工作有关的其他资料，并已充分了解评估施工现场及</w:t>
      </w:r>
      <w:r>
        <w:rPr>
          <w:rFonts w:hint="eastAsia" w:asciiTheme="minorEastAsia" w:hAnsiTheme="minorEastAsia" w:eastAsiaTheme="minorEastAsia"/>
          <w:sz w:val="28"/>
          <w:szCs w:val="28"/>
        </w:rPr>
        <w:t xml:space="preserve">周围环境对工程可能产生的影响，自愿承担相应风险与责任。</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w:t>
      </w:r>
      <w:r>
        <w:rPr>
          <w:rFonts w:hint="eastAsia" w:asciiTheme="minorEastAsia" w:hAnsiTheme="minorEastAsia" w:eastAsiaTheme="minorEastAsia"/>
          <w:sz w:val="28"/>
          <w:szCs w:val="28"/>
        </w:rPr>
        <w:t xml:space="preserve">、保证乙方及乙方相关工作人员遵守并严格执行上海立信会计金融学院修缮工程管理的有关规定。</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6</w:t>
      </w:r>
      <w:r>
        <w:rPr>
          <w:rFonts w:hint="eastAsia" w:asciiTheme="minorEastAsia" w:hAnsiTheme="minorEastAsia" w:eastAsiaTheme="minorEastAsia"/>
          <w:sz w:val="28"/>
          <w:szCs w:val="28"/>
        </w:rPr>
        <w:t xml:space="preserve">、不得扰乱学校正常的教学科研秩序及污染环境。</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7</w:t>
      </w:r>
      <w:r>
        <w:rPr>
          <w:rFonts w:hint="eastAsia" w:asciiTheme="minorEastAsia" w:hAnsiTheme="minorEastAsia" w:eastAsiaTheme="minorEastAsia"/>
          <w:sz w:val="28"/>
          <w:szCs w:val="28"/>
        </w:rPr>
        <w:t xml:space="preserve">、保证施工现场的整洁，每日完工后清扫施工现场。</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8</w:t>
      </w:r>
      <w:r>
        <w:rPr>
          <w:rFonts w:hint="eastAsia" w:asciiTheme="minorEastAsia" w:hAnsiTheme="minorEastAsia" w:eastAsiaTheme="minorEastAsia"/>
          <w:sz w:val="28"/>
          <w:szCs w:val="28"/>
        </w:rPr>
        <w:t xml:space="preserve">、验收合格后</w:t>
      </w:r>
      <w:r>
        <w:rPr>
          <w:rFonts w:hint="eastAsia" w:asciiTheme="minorEastAsia" w:hAnsiTheme="minorEastAsia" w:eastAsiaTheme="minorEastAsia"/>
          <w:sz w:val="28"/>
          <w:szCs w:val="28"/>
        </w:rPr>
        <w:t xml:space="preserve">10</w:t>
      </w:r>
      <w:r>
        <w:rPr>
          <w:rFonts w:hint="eastAsia" w:asciiTheme="minorEastAsia" w:hAnsiTheme="minorEastAsia" w:eastAsiaTheme="minorEastAsia"/>
          <w:sz w:val="28"/>
          <w:szCs w:val="28"/>
        </w:rPr>
        <w:t xml:space="preserve">天内提交完整结算资料。</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9</w:t>
      </w:r>
      <w:r>
        <w:rPr>
          <w:rFonts w:hint="eastAsia" w:asciiTheme="minorEastAsia" w:hAnsiTheme="minorEastAsia" w:eastAsiaTheme="minorEastAsia"/>
          <w:sz w:val="28"/>
          <w:szCs w:val="28"/>
        </w:rPr>
        <w:t xml:space="preserve">、未经甲方同意，乙方不得分包或转包。若乙方未经甲方同意即自行分包或转包，甲方有权解除本合同，要求乙方退场并要求乙方承担因乙方擅自分包或转包导致合同被解除而进一步造成的工期延误，每延误一日向甲方支付本合同工程造价金额</w:t>
      </w: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的违约</w:t>
      </w:r>
      <w:r>
        <w:rPr>
          <w:rFonts w:hint="eastAsia" w:asciiTheme="minorEastAsia" w:hAnsiTheme="minorEastAsia" w:eastAsiaTheme="minorEastAsia"/>
          <w:sz w:val="28"/>
          <w:szCs w:val="28"/>
        </w:rPr>
        <w:t xml:space="preserve">金（自乙</w:t>
      </w:r>
      <w:r>
        <w:rPr>
          <w:rFonts w:hint="eastAsia" w:asciiTheme="minorEastAsia" w:hAnsiTheme="minorEastAsia" w:eastAsiaTheme="minorEastAsia"/>
          <w:sz w:val="28"/>
          <w:szCs w:val="28"/>
        </w:rPr>
        <w:t xml:space="preserve">方进场之日至退场之日）。</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10</w:t>
      </w:r>
      <w:r>
        <w:rPr>
          <w:rFonts w:hint="eastAsia" w:asciiTheme="minorEastAsia" w:hAnsiTheme="minorEastAsia" w:eastAsiaTheme="minorEastAsia"/>
          <w:sz w:val="28"/>
          <w:szCs w:val="28"/>
        </w:rPr>
        <w:t xml:space="preserve">、乙方及乙方人员在合同履行过程中如出现人身、财产损害或造成第三方损害，应由乙方自行承担责任。</w:t>
      </w:r>
      <w:r>
        <w:rPr>
          <w:rFonts w:asciiTheme="minorEastAsia" w:hAnsiTheme="minorEastAsia" w:eastAsiaTheme="minorEastAsia"/>
          <w:sz w:val="28"/>
          <w:szCs w:val="28"/>
        </w:rPr>
      </w:r>
    </w:p>
    <w:p>
      <w:pPr>
        <w:pBdr/>
        <w:spacing w:line="48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十一、材料供应</w:t>
      </w:r>
      <w:r>
        <w:rPr>
          <w:rFonts w:asciiTheme="minorEastAsia" w:hAnsiTheme="minorEastAsia" w:eastAsiaTheme="minorEastAsia"/>
          <w:b/>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、乙方对施工过程中使用的全部材料负责，须提供合格证、质保书等资料随时接受甲方检查。乙方在材料、设备到施工现场前通知甲方。双方就材料、设备质量、环保标准共同验收，由甲方确认备案。</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因乙方提供的材料和工程设备不符合国家强制性标准、规范的规定或合同约定的标准、规范，所造成的质量缺陷，由乙方自费修复。在履行合同过程中，由于国家新颁布的强制性标准、规范，造成乙方负责提供的材料和工程设备，虽符合合同约定的标准，但不符合新颁布的强制性标准时，由乙方负责修复或重新订货，相关费用支出及导致的工期延长由乙方负责。</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、施工期间，乙方提供的材料和工程设备由乙方妥善保管，保管费用由乙方承担。</w:t>
      </w:r>
      <w:r>
        <w:rPr>
          <w:rFonts w:asciiTheme="minorEastAsia" w:hAnsiTheme="minorEastAsia" w:eastAsiaTheme="minorEastAsia"/>
          <w:sz w:val="28"/>
          <w:szCs w:val="28"/>
        </w:rPr>
      </w:r>
    </w:p>
    <w:p>
      <w:pPr>
        <w:pBdr/>
        <w:spacing w:line="480" w:lineRule="exact"/>
        <w:ind w:firstLine="562"/>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十二、工期延误</w:t>
      </w:r>
      <w:r>
        <w:rPr>
          <w:rFonts w:asciiTheme="minorEastAsia" w:hAnsiTheme="minorEastAsia" w:eastAsiaTheme="minorEastAsia"/>
          <w:b/>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因乙方责任不能按期完工的，工期不顺延；因乙方原因造成工程质量存在问题的返工费用由乙方承担，工期</w:t>
      </w:r>
      <w:r>
        <w:rPr>
          <w:rFonts w:hint="eastAsia" w:asciiTheme="minorEastAsia" w:hAnsiTheme="minorEastAsia" w:eastAsiaTheme="minorEastAsia"/>
          <w:sz w:val="28"/>
          <w:szCs w:val="28"/>
        </w:rPr>
        <w:t xml:space="preserve">不顺延。</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对以下原因造成竣工的日期延误，经甲方确认，工期应当顺延：不可抗力；甲方未按合同约定完成其应当负责的工作而影响工期的。</w:t>
      </w:r>
      <w:r>
        <w:rPr>
          <w:rFonts w:asciiTheme="minorEastAsia" w:hAnsiTheme="minorEastAsia" w:eastAsiaTheme="minorEastAsia"/>
          <w:sz w:val="28"/>
          <w:szCs w:val="28"/>
        </w:rPr>
      </w:r>
    </w:p>
    <w:p>
      <w:pPr>
        <w:pBdr/>
        <w:spacing w:line="480" w:lineRule="exact"/>
        <w:ind w:firstLine="551"/>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十三、工程开工、竣工及保修期</w:t>
      </w:r>
      <w:r>
        <w:rPr>
          <w:rFonts w:asciiTheme="minorEastAsia" w:hAnsiTheme="minorEastAsia" w:eastAsiaTheme="minorEastAsia"/>
          <w:b/>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、开工：甲乙双方通过确定方案、合同签订、工程技术交底等前期工作完成后，材料、施工人员到达施工现场开始运作视为开工。</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、竣工验收前，乙方负责保护工程成品和工程现场的全部安全。</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、工程完工后，乙方应通知甲方验收，甲方自接到竣工验收通知单后七日内组织验收。验收参与方共同签字盖章视为验收合格，双方办理移交手续。验收不合格的，甲方有权要求乙方对不合格工程返</w:t>
      </w:r>
      <w:r>
        <w:rPr>
          <w:rFonts w:hint="eastAsia" w:asciiTheme="minorEastAsia" w:hAnsiTheme="minorEastAsia" w:eastAsiaTheme="minorEastAsia"/>
          <w:sz w:val="28"/>
          <w:szCs w:val="28"/>
        </w:rPr>
        <w:t xml:space="preserve">工、修复或采取其他补救措施，由此增加的费用和（或）延误的工期由乙方承担。乙方在完成不合格工程的返工、修复或采取其他补救措</w:t>
      </w:r>
      <w:r>
        <w:rPr>
          <w:rFonts w:hint="eastAsia" w:asciiTheme="minorEastAsia" w:hAnsiTheme="minorEastAsia" w:eastAsiaTheme="minorEastAsia"/>
          <w:sz w:val="28"/>
          <w:szCs w:val="28"/>
        </w:rPr>
        <w:t xml:space="preserve">施后，应重新提交竣工验收通知单，重新进行验收。</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w:t>
      </w:r>
      <w:r>
        <w:rPr>
          <w:rFonts w:hint="eastAsia" w:asciiTheme="minorEastAsia" w:hAnsiTheme="minorEastAsia" w:eastAsiaTheme="minorEastAsia"/>
          <w:sz w:val="28"/>
          <w:szCs w:val="28"/>
        </w:rPr>
        <w:t xml:space="preserve">、由于乙方的原因，未能按项目进度计划完成工作，乙方应采取措施加快进度，并承担加快进度所增加的费用。同时，乙方应当依照本合同第十五条第四款承担逾期竣工违约金，乙方支付逾期竣工违约金，不免除乙方完成工作及修补缺陷的义务，且甲方有权从竣工结算款或约定提交的履约担保中扣除相当于逾期竣工违约金的金额。</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w:t>
      </w:r>
      <w:r>
        <w:rPr>
          <w:rFonts w:hint="eastAsia" w:asciiTheme="minorEastAsia" w:hAnsiTheme="minorEastAsia" w:eastAsiaTheme="minorEastAsia"/>
          <w:sz w:val="28"/>
          <w:szCs w:val="28"/>
        </w:rPr>
        <w:t xml:space="preserve">、若验收合格，乙方竣工退场。乙方应对施工现场进行清理，并撤离相关人员，使得施工现场处于以下状态，直至甲方检验合格：</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）施工现场内残留的垃圾已全部清除出场，场地已进行清理、平整或复原；</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）按合同约定应撤离的人员、乙方提供的施工设备和剩余的材料，包括废弃的施工设备和材料，已按计划撤离施工现场；</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）施工现场其他竣工退场工作已全部完成。</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施工现场的竣工退场费用由乙方承担。乙方应在合同约定的期限内完成竣工退场，逾期未完成的，甲方有权出售或另行处理乙方遗留的物品，由此支出的费用由乙方承担，甲方出售乙方遗留</w:t>
      </w:r>
      <w:r>
        <w:rPr>
          <w:rFonts w:hint="eastAsia" w:asciiTheme="minorEastAsia" w:hAnsiTheme="minorEastAsia" w:eastAsiaTheme="minorEastAsia"/>
          <w:sz w:val="28"/>
          <w:szCs w:val="28"/>
        </w:rPr>
        <w:t xml:space="preserve">物品所得款项在扣除必要费用后应返还乙方。</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6</w:t>
      </w:r>
      <w:r>
        <w:rPr>
          <w:rFonts w:hint="eastAsia" w:asciiTheme="minorEastAsia" w:hAnsiTheme="minorEastAsia" w:eastAsiaTheme="minorEastAsia"/>
          <w:sz w:val="28"/>
          <w:szCs w:val="28"/>
        </w:rPr>
        <w:t xml:space="preserve">、一般工程保修期为两年（防水工程或含防水分项的一般工程保修期为五年），自本工程验收合格双方签字之日起计。</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7</w:t>
      </w:r>
      <w:r>
        <w:rPr>
          <w:rFonts w:hint="eastAsia" w:asciiTheme="minorEastAsia" w:hAnsiTheme="minorEastAsia" w:eastAsiaTheme="minorEastAsia"/>
          <w:sz w:val="28"/>
          <w:szCs w:val="28"/>
        </w:rPr>
        <w:t xml:space="preserve">、在工程移交甲方后，因乙方原因产生的质量缺陷，乙方应承担质量缺陷责任和保修义务。</w:t>
      </w:r>
      <w:r>
        <w:rPr>
          <w:rFonts w:asciiTheme="minorEastAsia" w:hAnsiTheme="minorEastAsia" w:eastAsiaTheme="minorEastAsia"/>
          <w:sz w:val="28"/>
          <w:szCs w:val="28"/>
        </w:rPr>
      </w:r>
    </w:p>
    <w:p>
      <w:p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8</w:t>
      </w:r>
      <w:r>
        <w:rPr>
          <w:rFonts w:hint="eastAsia" w:asciiTheme="minorEastAsia" w:hAnsiTheme="minorEastAsia" w:eastAsiaTheme="minorEastAsia"/>
          <w:sz w:val="28"/>
          <w:szCs w:val="28"/>
        </w:rPr>
        <w:t xml:space="preserve">、在保修期内，甲方在使用过程中，发现已接收的工程存在缺陷或损坏的，应通知乙方予以修复，乙方应在</w:t>
      </w:r>
      <w:r>
        <w:rPr>
          <w:rFonts w:hint="eastAsia" w:asciiTheme="minorEastAsia" w:hAnsiTheme="minorEastAsia" w:eastAsiaTheme="minorEastAsia"/>
          <w:sz w:val="28"/>
          <w:szCs w:val="28"/>
        </w:rPr>
        <w:t xml:space="preserve">24</w:t>
      </w:r>
      <w:r>
        <w:rPr>
          <w:rFonts w:hint="eastAsia" w:asciiTheme="minorEastAsia" w:hAnsiTheme="minorEastAsia" w:eastAsiaTheme="minorEastAsia"/>
          <w:sz w:val="28"/>
          <w:szCs w:val="28"/>
        </w:rPr>
        <w:t xml:space="preserve">小时内完成修复工作；经甲方催告后乙方仍未修复的，甲方有权自行修复或委托第三方修复，所需费用由乙方承担。</w:t>
      </w:r>
      <w:r>
        <w:rPr>
          <w:rFonts w:asciiTheme="minorEastAsia" w:hAnsiTheme="minorEastAsia" w:eastAsiaTheme="minorEastAsia"/>
          <w:sz w:val="28"/>
          <w:szCs w:val="28"/>
        </w:rPr>
      </w:r>
    </w:p>
    <w:p>
      <w:pPr>
        <w:pBdr/>
        <w:spacing w:line="480" w:lineRule="exact"/>
        <w:ind w:firstLine="551"/>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十四、工程款支付方式</w:t>
      </w:r>
      <w:r>
        <w:rPr>
          <w:rFonts w:asciiTheme="minorEastAsia" w:hAnsiTheme="minorEastAsia" w:eastAsiaTheme="minorEastAsia"/>
          <w:b/>
          <w:sz w:val="28"/>
          <w:szCs w:val="28"/>
        </w:rPr>
      </w:r>
    </w:p>
    <w:p>
      <w:pPr>
        <w:pBdr/>
        <w:spacing w:line="440" w:lineRule="exact"/>
        <w:ind w:firstLine="560"/>
        <w:rPr>
          <w:rFonts w:ascii="宋体" w:hAnsi="宋体" w:cs="仿宋"/>
          <w:sz w:val="28"/>
          <w:szCs w:val="28"/>
        </w:rPr>
      </w:pPr>
      <w:r>
        <w:rPr>
          <w:rFonts w:hint="eastAsia" w:cs="仿宋" w:asciiTheme="minorEastAsia" w:hAnsiTheme="minorEastAsia" w:eastAsiaTheme="minorEastAsia"/>
          <w:sz w:val="28"/>
          <w:szCs w:val="28"/>
        </w:rPr>
        <w:t xml:space="preserve">1</w:t>
      </w:r>
      <w:r>
        <w:rPr>
          <w:rFonts w:hint="eastAsia" w:cs="仿宋"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工程竣工验收合格，</w:t>
      </w:r>
      <w:r>
        <w:rPr>
          <w:rFonts w:hint="eastAsia" w:ascii="宋体" w:hAnsi="宋体" w:cs="仿宋"/>
          <w:sz w:val="28"/>
          <w:szCs w:val="28"/>
        </w:rPr>
        <w:t xml:space="preserve">临时设施场地全部清场，</w:t>
      </w:r>
      <w:r>
        <w:rPr>
          <w:rFonts w:hint="eastAsia" w:cs="仿宋" w:asciiTheme="minorEastAsia" w:hAnsiTheme="minorEastAsia" w:eastAsiaTheme="minorEastAsia"/>
          <w:sz w:val="28"/>
          <w:szCs w:val="28"/>
        </w:rPr>
        <w:t xml:space="preserve">且使用单位签署竣工验收单，</w:t>
      </w:r>
      <w:r>
        <w:rPr>
          <w:rFonts w:hint="eastAsia" w:ascii="宋体" w:hAnsi="宋体" w:cs="仿宋"/>
          <w:sz w:val="28"/>
          <w:szCs w:val="28"/>
        </w:rPr>
        <w:t xml:space="preserve">竣工结算审价结束并提交完整的竣工档</w:t>
      </w:r>
      <w:r>
        <w:rPr>
          <w:rFonts w:hint="eastAsia" w:cs="仿宋" w:asciiTheme="minorEastAsia" w:hAnsiTheme="minorEastAsia" w:eastAsiaTheme="minorEastAsia"/>
          <w:sz w:val="28"/>
          <w:szCs w:val="28"/>
        </w:rPr>
        <w:t xml:space="preserve">案资料，乙方先行支付</w:t>
      </w:r>
      <w:r>
        <w:rPr>
          <w:rFonts w:hint="eastAsia" w:ascii="宋体" w:hAnsi="宋体" w:cs="仿宋"/>
          <w:sz w:val="28"/>
          <w:szCs w:val="28"/>
        </w:rPr>
        <w:t xml:space="preserve">工程结算价的</w:t>
      </w:r>
      <w:r>
        <w:rPr>
          <w:rFonts w:hint="eastAsia" w:ascii="宋体" w:hAnsi="宋体" w:cs="仿宋"/>
          <w:sz w:val="28"/>
          <w:szCs w:val="28"/>
        </w:rPr>
        <w:t xml:space="preserve">3%</w:t>
      </w:r>
      <w:r>
        <w:rPr>
          <w:rFonts w:hint="eastAsia" w:ascii="宋体" w:hAnsi="宋体" w:cs="仿宋"/>
          <w:sz w:val="28"/>
          <w:szCs w:val="28"/>
        </w:rPr>
        <w:t xml:space="preserve">作为工程质保金。</w:t>
      </w:r>
      <w:r>
        <w:rPr>
          <w:rFonts w:hint="eastAsia" w:asciiTheme="minorEastAsia" w:hAnsiTheme="minorEastAsia" w:eastAsiaTheme="minorEastAsia"/>
          <w:sz w:val="28"/>
          <w:szCs w:val="28"/>
        </w:rPr>
        <w:t xml:space="preserve">甲方收到工程质保金后</w:t>
      </w:r>
      <w:r>
        <w:rPr>
          <w:rFonts w:hint="eastAsia" w:asciiTheme="minorEastAsia" w:hAnsiTheme="minorEastAsia" w:eastAsiaTheme="minorEastAsia"/>
          <w:sz w:val="28"/>
          <w:szCs w:val="28"/>
        </w:rPr>
        <w:t xml:space="preserve">1</w:t>
      </w:r>
      <w:r>
        <w:rPr>
          <w:rFonts w:asciiTheme="minorEastAsia" w:hAnsiTheme="minorEastAsia" w:eastAsiaTheme="minorEastAsia"/>
          <w:sz w:val="28"/>
          <w:szCs w:val="28"/>
        </w:rPr>
        <w:t xml:space="preserve">0</w:t>
      </w:r>
      <w:r>
        <w:rPr>
          <w:rFonts w:hint="eastAsia" w:asciiTheme="minorEastAsia" w:hAnsiTheme="minorEastAsia" w:eastAsiaTheme="minorEastAsia"/>
          <w:sz w:val="28"/>
          <w:szCs w:val="28"/>
        </w:rPr>
        <w:t xml:space="preserve">个工作日内，付至工程结算价的</w:t>
      </w:r>
      <w:r>
        <w:rPr>
          <w:rFonts w:hint="eastAsia" w:asciiTheme="minorEastAsia" w:hAnsiTheme="minorEastAsia" w:eastAsiaTheme="minorEastAsia"/>
          <w:sz w:val="28"/>
          <w:szCs w:val="28"/>
        </w:rPr>
        <w:t xml:space="preserve">100%</w:t>
      </w:r>
      <w:r>
        <w:rPr>
          <w:rFonts w:hint="eastAsia" w:asciiTheme="minorEastAsia" w:hAnsiTheme="minorEastAsia" w:eastAsiaTheme="minorEastAsia"/>
          <w:sz w:val="28"/>
          <w:szCs w:val="28"/>
        </w:rPr>
        <w:t xml:space="preserve">。</w:t>
      </w:r>
      <w:r>
        <w:rPr>
          <w:rFonts w:ascii="宋体" w:hAnsi="宋体" w:cs="仿宋"/>
          <w:sz w:val="28"/>
          <w:szCs w:val="28"/>
        </w:rPr>
      </w:r>
    </w:p>
    <w:p>
      <w:pPr>
        <w:pBdr/>
        <w:spacing w:line="440" w:lineRule="exact"/>
        <w:ind w:firstLine="560"/>
        <w:rPr>
          <w:rFonts w:ascii="宋体" w:hAnsi="宋体" w:cs="仿宋"/>
          <w:sz w:val="28"/>
          <w:szCs w:val="28"/>
        </w:rPr>
      </w:pPr>
      <w:r>
        <w:rPr>
          <w:rFonts w:hint="eastAsia" w:cs="仿宋" w:asciiTheme="minorEastAsia" w:hAnsiTheme="minorEastAsia" w:eastAsiaTheme="minorEastAsia"/>
          <w:sz w:val="28"/>
          <w:szCs w:val="28"/>
        </w:rPr>
        <w:t xml:space="preserve">2</w:t>
      </w:r>
      <w:r>
        <w:rPr>
          <w:rFonts w:hint="eastAsia" w:cs="仿宋"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保修期满后，甲方一次性无息返还全额工程质保金给乙方</w:t>
      </w:r>
      <w:r>
        <w:rPr>
          <w:rFonts w:hint="eastAsia" w:ascii="宋体" w:hAnsi="宋体" w:cs="仿宋"/>
          <w:sz w:val="28"/>
          <w:szCs w:val="28"/>
        </w:rPr>
        <w:t xml:space="preserve">。</w:t>
      </w:r>
      <w:r>
        <w:rPr>
          <w:rFonts w:ascii="宋体" w:hAnsi="宋体" w:cs="仿宋"/>
          <w:sz w:val="28"/>
          <w:szCs w:val="28"/>
        </w:rPr>
      </w:r>
    </w:p>
    <w:p>
      <w:pPr>
        <w:pBdr/>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w:t>
      </w:r>
      <w:r>
        <w:rPr>
          <w:rFonts w:hint="eastAsia" w:cs="仿宋"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双方收付款账号信息如下：</w:t>
      </w:r>
      <w:r>
        <w:rPr>
          <w:rFonts w:asciiTheme="minorEastAsia" w:hAnsiTheme="minorEastAsia" w:eastAsiaTheme="minorEastAsia"/>
          <w:sz w:val="28"/>
          <w:szCs w:val="28"/>
        </w:rPr>
      </w:r>
    </w:p>
    <w:p>
      <w:pPr>
        <w:pBdr/>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）甲方单位名称：上海立信会计金融学院</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地址：上海市浦东新区上川路</w:t>
      </w:r>
      <w:r>
        <w:rPr>
          <w:rFonts w:hint="eastAsia" w:asciiTheme="minorEastAsia" w:hAnsiTheme="minorEastAsia" w:eastAsiaTheme="minorEastAsia"/>
          <w:sz w:val="28"/>
          <w:szCs w:val="28"/>
        </w:rPr>
        <w:t xml:space="preserve">9</w:t>
      </w:r>
      <w:r>
        <w:rPr>
          <w:rFonts w:asciiTheme="minorEastAsia" w:hAnsiTheme="minorEastAsia" w:eastAsiaTheme="minorEastAsia"/>
          <w:sz w:val="28"/>
          <w:szCs w:val="28"/>
        </w:rPr>
        <w:t xml:space="preserve">95</w:t>
      </w:r>
      <w:r>
        <w:rPr>
          <w:rFonts w:hint="eastAsia" w:asciiTheme="minorEastAsia" w:hAnsiTheme="minorEastAsia" w:eastAsiaTheme="minorEastAsia"/>
          <w:sz w:val="28"/>
          <w:szCs w:val="28"/>
        </w:rPr>
        <w:t xml:space="preserve">号</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税号（社会信用统一代码）：</w:t>
      </w:r>
      <w:r>
        <w:rPr>
          <w:rFonts w:hint="eastAsia" w:asciiTheme="minorEastAsia" w:hAnsiTheme="minorEastAsia" w:eastAsiaTheme="minorEastAsia"/>
          <w:sz w:val="28"/>
          <w:szCs w:val="28"/>
        </w:rPr>
        <w:t xml:space="preserve">1</w:t>
      </w:r>
      <w:r>
        <w:rPr>
          <w:rFonts w:asciiTheme="minorEastAsia" w:hAnsiTheme="minorEastAsia" w:eastAsiaTheme="minorEastAsia"/>
          <w:sz w:val="28"/>
          <w:szCs w:val="28"/>
        </w:rPr>
        <w:t xml:space="preserve">2310000MB2F01828Q</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开户行：中国农业行上海市浦东大道支行</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账号：</w:t>
      </w:r>
      <w:r>
        <w:rPr>
          <w:rFonts w:hint="eastAsia" w:asciiTheme="minorEastAsia" w:hAnsiTheme="minorEastAsia" w:eastAsiaTheme="minorEastAsia"/>
          <w:sz w:val="28"/>
          <w:szCs w:val="28"/>
        </w:rPr>
        <w:t xml:space="preserve">0</w:t>
      </w:r>
      <w:r>
        <w:rPr>
          <w:rFonts w:asciiTheme="minorEastAsia" w:hAnsiTheme="minorEastAsia" w:eastAsiaTheme="minorEastAsia"/>
          <w:sz w:val="28"/>
          <w:szCs w:val="28"/>
        </w:rPr>
        <w:t xml:space="preserve">3322500040006068</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银行联行号：</w:t>
      </w:r>
      <w:r>
        <w:rPr>
          <w:rFonts w:hint="eastAsia" w:asciiTheme="minorEastAsia" w:hAnsiTheme="minorEastAsia" w:eastAsiaTheme="minorEastAsia"/>
          <w:sz w:val="28"/>
          <w:szCs w:val="28"/>
        </w:rPr>
        <w:t xml:space="preserve">1</w:t>
      </w:r>
      <w:r>
        <w:rPr>
          <w:rFonts w:asciiTheme="minorEastAsia" w:hAnsiTheme="minorEastAsia" w:eastAsiaTheme="minorEastAsia"/>
          <w:sz w:val="28"/>
          <w:szCs w:val="28"/>
        </w:rPr>
        <w:t xml:space="preserve">032900</w:t>
      </w:r>
      <w:r>
        <w:rPr>
          <w:rFonts w:asciiTheme="minorEastAsia" w:hAnsiTheme="minorEastAsia" w:eastAsiaTheme="minorEastAsia"/>
          <w:sz w:val="28"/>
          <w:szCs w:val="28"/>
        </w:rPr>
        <w:t xml:space="preserve">76039</w:t>
      </w:r>
      <w:r>
        <w:rPr>
          <w:rFonts w:asciiTheme="minorEastAsia" w:hAnsiTheme="minorEastAsia" w:eastAsiaTheme="minorEastAsia"/>
          <w:sz w:val="28"/>
          <w:szCs w:val="28"/>
        </w:rPr>
      </w:r>
    </w:p>
    <w:p>
      <w:pPr>
        <w:pBdr/>
        <w:spacing w:line="44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）乙方单位名称：</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地址：</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asciiTheme="minorEastAsia" w:hAnsiTheme="minorEastAsia" w:eastAsiaTheme="minorEastAsia"/>
          <w:sz w:val="28"/>
          <w:szCs w:val="28"/>
        </w:rPr>
        <w:t xml:space="preserve">开户行：</w:t>
      </w:r>
      <w:r>
        <w:rPr>
          <w:rFonts w:asciiTheme="minorEastAsia" w:hAnsiTheme="minorEastAsia" w:eastAsiaTheme="minorEastAsia"/>
          <w:sz w:val="28"/>
          <w:szCs w:val="28"/>
        </w:rPr>
        <w:t xml:space="preserve"> </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asciiTheme="minorEastAsia" w:hAnsiTheme="minorEastAsia" w:eastAsiaTheme="minorEastAsia"/>
          <w:sz w:val="28"/>
          <w:szCs w:val="28"/>
        </w:rPr>
        <w:t xml:space="preserve">账号：</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税号（社会信用统一代码）</w:t>
      </w:r>
      <w:r>
        <w:rPr>
          <w:rFonts w:asciiTheme="minorEastAsia" w:hAnsiTheme="minorEastAsia" w:eastAsiaTheme="minorEastAsia"/>
          <w:sz w:val="28"/>
          <w:szCs w:val="28"/>
        </w:rPr>
        <w:t xml:space="preserve">：</w:t>
      </w:r>
      <w:r>
        <w:rPr>
          <w:rFonts w:asciiTheme="minorEastAsia" w:hAnsiTheme="minorEastAsia" w:eastAsiaTheme="minorEastAsia"/>
          <w:sz w:val="28"/>
          <w:szCs w:val="28"/>
        </w:rPr>
      </w:r>
    </w:p>
    <w:p>
      <w:pPr>
        <w:pBdr/>
        <w:spacing w:line="440" w:lineRule="exact"/>
        <w:ind w:firstLine="840"/>
        <w:rPr>
          <w:rFonts w:asciiTheme="minorEastAsia" w:hAnsiTheme="minorEastAsia" w:eastAsiaTheme="minorEastAsia"/>
          <w:sz w:val="28"/>
          <w:szCs w:val="28"/>
        </w:rPr>
      </w:pPr>
      <w:r>
        <w:rPr>
          <w:rFonts w:asciiTheme="minorEastAsia" w:hAnsiTheme="minorEastAsia" w:eastAsiaTheme="minorEastAsia"/>
          <w:sz w:val="28"/>
          <w:szCs w:val="28"/>
        </w:rPr>
        <w:t xml:space="preserve">银行联行号：</w:t>
      </w:r>
      <w:r>
        <w:rPr>
          <w:rFonts w:asciiTheme="minorEastAsia" w:hAnsiTheme="minorEastAsia" w:eastAsiaTheme="minorEastAsia"/>
          <w:sz w:val="28"/>
          <w:szCs w:val="28"/>
        </w:rPr>
      </w:r>
    </w:p>
    <w:p>
      <w:pPr>
        <w:pBdr/>
        <w:spacing w:line="400" w:lineRule="exact"/>
        <w:ind w:firstLine="55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十五、违约责任</w:t>
      </w:r>
      <w:r>
        <w:rPr>
          <w:rFonts w:asciiTheme="minorEastAsia" w:hAnsiTheme="minorEastAsia" w:eastAsiaTheme="minorEastAsia"/>
          <w:b/>
          <w:bCs/>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、一方当事人未按约定履行合同义务给对方造成损失的，应当承担赔偿责任；因违反有关法律规定受到处罚的，最终责任由责任方承担。</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一方当事人无法继续履行合同的，应当及时通知另一方，并由责任方承担因合同解除而造成的损失。</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、出现下列情形，属于乙方违约：</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1</w:t>
      </w:r>
      <w:r>
        <w:rPr>
          <w:rFonts w:hint="eastAsia" w:asciiTheme="minorEastAsia" w:hAnsiTheme="minorEastAsia" w:eastAsiaTheme="minorEastAsia"/>
          <w:sz w:val="28"/>
          <w:szCs w:val="28"/>
        </w:rPr>
        <w:t xml:space="preserve">）因乙方原因导致的乙方文件、实施和竣工的工程不符合法律法规、工程质量验收标准以及合同约定；</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）乙方违反合同约定进行转包或违法分包的；</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3</w:t>
      </w:r>
      <w:r>
        <w:rPr>
          <w:rFonts w:hint="eastAsia" w:asciiTheme="minorEastAsia" w:hAnsiTheme="minorEastAsia" w:eastAsiaTheme="minorEastAsia"/>
          <w:sz w:val="28"/>
          <w:szCs w:val="28"/>
        </w:rPr>
        <w:t xml:space="preserve">）乙方违反约定采购和使用不合格材料或工程设备；</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4</w:t>
      </w:r>
      <w:r>
        <w:rPr>
          <w:rFonts w:hint="eastAsia" w:asciiTheme="minorEastAsia" w:hAnsiTheme="minorEastAsia" w:eastAsiaTheme="minorEastAsia"/>
          <w:sz w:val="28"/>
          <w:szCs w:val="28"/>
        </w:rPr>
        <w:t xml:space="preserve">）因乙方原因导致工程质量不符合合同要求的；</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5</w:t>
      </w:r>
      <w:r>
        <w:rPr>
          <w:rFonts w:hint="eastAsia" w:asciiTheme="minorEastAsia" w:hAnsiTheme="minorEastAsia" w:eastAsiaTheme="minorEastAsia"/>
          <w:sz w:val="28"/>
          <w:szCs w:val="28"/>
        </w:rPr>
        <w:t xml:space="preserve">）乙方未能按项目进度计划及时完成合同约定的工作，造成工期延误；</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6</w:t>
      </w:r>
      <w:r>
        <w:rPr>
          <w:rFonts w:hint="eastAsia" w:asciiTheme="minorEastAsia" w:hAnsiTheme="minorEastAsia" w:eastAsiaTheme="minorEastAsia"/>
          <w:sz w:val="28"/>
          <w:szCs w:val="28"/>
        </w:rPr>
        <w:t xml:space="preserve">）由于乙方原因未能通过竣工验收的；</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7</w:t>
      </w:r>
      <w:r>
        <w:rPr>
          <w:rFonts w:hint="eastAsia" w:asciiTheme="minorEastAsia" w:hAnsiTheme="minorEastAsia" w:eastAsiaTheme="minorEastAsia"/>
          <w:sz w:val="28"/>
          <w:szCs w:val="28"/>
        </w:rPr>
        <w:t xml:space="preserve">）乙方在保修期内，未能在合理期限进行修复，或拒绝按甲方指示进行修复的；</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8</w:t>
      </w:r>
      <w:r>
        <w:rPr>
          <w:rFonts w:hint="eastAsia" w:asciiTheme="minorEastAsia" w:hAnsiTheme="minorEastAsia" w:eastAsiaTheme="minorEastAsia"/>
          <w:sz w:val="28"/>
          <w:szCs w:val="28"/>
        </w:rPr>
        <w:t xml:space="preserve">）乙方明确表示或者以其行为表明不履行合同主要义务的；</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乙方发生上述违约情况时，甲方可向乙方发出通知，要求乙方采取有效措施纠正违约行为。乙方应承担因其违约行为而增加的费用和（或）延误的工期，并按合同价款的</w:t>
      </w:r>
      <w:r>
        <w:rPr>
          <w:rFonts w:hint="eastAsia" w:asciiTheme="minorEastAsia" w:hAnsiTheme="minorEastAsia" w:eastAsiaTheme="minorEastAsia"/>
          <w:sz w:val="28"/>
          <w:szCs w:val="28"/>
        </w:rPr>
        <w:t xml:space="preserve">10%</w:t>
      </w:r>
      <w:r>
        <w:rPr>
          <w:rFonts w:hint="eastAsia" w:asciiTheme="minorEastAsia" w:hAnsiTheme="minorEastAsia" w:eastAsiaTheme="minorEastAsia"/>
          <w:sz w:val="28"/>
          <w:szCs w:val="28"/>
        </w:rPr>
        <w:t xml:space="preserve">向甲方支付违约金。违约金不足以赔偿甲方损失的，乙方应赔偿甲方全部损失。</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4</w:t>
      </w:r>
      <w:r>
        <w:rPr>
          <w:rFonts w:hint="eastAsia" w:asciiTheme="minorEastAsia" w:hAnsiTheme="minorEastAsia" w:eastAsiaTheme="minorEastAsia"/>
          <w:sz w:val="28"/>
          <w:szCs w:val="28"/>
        </w:rPr>
        <w:t xml:space="preserve">、由于乙方责任延误工期的，每延误一日，乙方支付给甲方本合同工程造价金额</w:t>
      </w:r>
      <w:r>
        <w:rPr>
          <w:rFonts w:hint="eastAsia" w:asciiTheme="minorEastAsia" w:hAnsiTheme="minorEastAsia" w:eastAsiaTheme="minorEastAsia"/>
          <w:sz w:val="28"/>
          <w:szCs w:val="28"/>
        </w:rPr>
        <w:t xml:space="preserve">2%</w:t>
      </w:r>
      <w:r>
        <w:rPr>
          <w:rFonts w:hint="eastAsia" w:asciiTheme="minorEastAsia" w:hAnsiTheme="minorEastAsia" w:eastAsiaTheme="minorEastAsia"/>
          <w:sz w:val="28"/>
          <w:szCs w:val="28"/>
        </w:rPr>
        <w:t xml:space="preserve">的违约金。</w:t>
      </w:r>
      <w:r>
        <w:rPr>
          <w:rFonts w:asciiTheme="minorEastAsia" w:hAnsiTheme="minorEastAsia" w:eastAsiaTheme="minorEastAsia"/>
          <w:sz w:val="28"/>
          <w:szCs w:val="28"/>
        </w:rPr>
      </w:r>
    </w:p>
    <w:p>
      <w:pPr>
        <w:pBdr/>
        <w:spacing w:line="40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w:t>
      </w:r>
      <w:r>
        <w:rPr>
          <w:rFonts w:hint="eastAsia" w:asciiTheme="minorEastAsia" w:hAnsiTheme="minorEastAsia" w:eastAsiaTheme="minorEastAsia"/>
          <w:sz w:val="28"/>
          <w:szCs w:val="28"/>
        </w:rPr>
        <w:t xml:space="preserve">、由于乙方责任导致工程质量不合格，乙方必须进行彻底返工修理。因返工造成工程的延期交付视同工程延误，按本条第四款的标准支付违约金。</w:t>
      </w:r>
      <w:r>
        <w:rPr>
          <w:rFonts w:asciiTheme="minorEastAsia" w:hAnsiTheme="minorEastAsia" w:eastAsiaTheme="minorEastAsia"/>
          <w:sz w:val="28"/>
          <w:szCs w:val="28"/>
        </w:rPr>
      </w:r>
    </w:p>
    <w:p>
      <w:pPr>
        <w:pBdr/>
        <w:spacing w:line="480" w:lineRule="exact"/>
        <w:ind w:firstLine="551"/>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十六、争议解决方式</w:t>
      </w:r>
      <w:r>
        <w:rPr>
          <w:rFonts w:asciiTheme="minorEastAsia" w:hAnsiTheme="minorEastAsia" w:eastAsiaTheme="minorEastAsia"/>
          <w:b/>
          <w:sz w:val="28"/>
          <w:szCs w:val="28"/>
        </w:rPr>
      </w:r>
    </w:p>
    <w:p>
      <w:pPr>
        <w:pBdr/>
        <w:spacing w:line="480" w:lineRule="exact"/>
        <w:ind w:firstLine="549"/>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本合同项下发生的争议，双方应当协商或向第三方申</w:t>
      </w:r>
      <w:r>
        <w:rPr>
          <w:rFonts w:hint="eastAsia" w:asciiTheme="minorEastAsia" w:hAnsiTheme="minorEastAsia" w:eastAsiaTheme="minorEastAsia"/>
          <w:sz w:val="28"/>
          <w:szCs w:val="28"/>
        </w:rPr>
        <w:t xml:space="preserve">请调解解决，协商或调解解决不成时，向</w:t>
      </w:r>
      <w:r>
        <w:rPr>
          <w:rFonts w:hint="eastAsia" w:asciiTheme="minorEastAsia" w:hAnsiTheme="minorEastAsia" w:eastAsiaTheme="minorEastAsia"/>
          <w:sz w:val="28"/>
          <w:szCs w:val="28"/>
        </w:rPr>
        <w:t xml:space="preserve">上海市浦东新区人民法院起诉。</w:t>
      </w:r>
      <w:r>
        <w:rPr>
          <w:rFonts w:asciiTheme="minorEastAsia" w:hAnsiTheme="minorEastAsia" w:eastAsiaTheme="minorEastAsia"/>
          <w:sz w:val="28"/>
          <w:szCs w:val="28"/>
        </w:rPr>
      </w:r>
    </w:p>
    <w:p>
      <w:pPr>
        <w:numPr>
          <w:ilvl w:val="0"/>
          <w:numId w:val="1"/>
        </w:numPr>
        <w:pBdr/>
        <w:spacing w:line="480" w:lineRule="exact"/>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本合同一式陆份，甲方执肆份，乙方执贰份，经甲乙双方签字</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盖章</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后生效。</w:t>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甲方</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盖章</w:t>
      </w:r>
      <w:r>
        <w:rPr>
          <w:rFonts w:hint="eastAsia" w:asciiTheme="minorEastAsia" w:hAnsiTheme="minorEastAsia" w:eastAsiaTheme="minorEastAsia"/>
          <w:sz w:val="28"/>
          <w:szCs w:val="28"/>
        </w:rPr>
        <w:t xml:space="preserve">)</w:t>
      </w:r>
      <w:r>
        <w:rPr>
          <w:rFonts w:hint="eastAsia" w:asciiTheme="minorEastAsia" w:hAnsiTheme="minorEastAsia" w:eastAsiaTheme="minorEastAsia"/>
          <w:sz w:val="28"/>
          <w:szCs w:val="28"/>
        </w:rPr>
        <w:t xml:space="preserve">：上海立信会计金融学院</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法定代表人或授权代表人：</w:t>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hanging="6440" w:left="64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乙方（盖章）：</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r>
    </w:p>
    <w:p>
      <w:pPr>
        <w:pBdr/>
        <w:spacing w:line="480" w:lineRule="exact"/>
        <w:ind w:hanging="6440" w:left="6440"/>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法定代表人或授权代表人：</w:t>
      </w:r>
      <w:r>
        <w:rPr>
          <w:rFonts w:asciiTheme="minorEastAsia" w:hAnsiTheme="minorEastAsia" w:eastAsiaTheme="minorEastAsia"/>
          <w:sz w:val="28"/>
          <w:szCs w:val="28"/>
        </w:rPr>
      </w:r>
    </w:p>
    <w:p>
      <w:pPr>
        <w:pBdr/>
        <w:spacing w:line="480" w:lineRule="exact"/>
        <w:ind/>
        <w:rPr>
          <w:rFonts w:asciiTheme="minorEastAsia" w:hAnsiTheme="minorEastAsia" w:eastAsiaTheme="minorEastAsia"/>
          <w:sz w:val="28"/>
          <w:szCs w:val="28"/>
        </w:rPr>
      </w:pPr>
      <w:r>
        <w:rPr>
          <w:rFonts w:asciiTheme="minorEastAsia" w:hAnsiTheme="minorEastAsia" w:eastAsiaTheme="minorEastAsia"/>
          <w:sz w:val="28"/>
          <w:szCs w:val="28"/>
        </w:rPr>
      </w:r>
      <w:r>
        <w:rPr>
          <w:rFonts w:asciiTheme="minorEastAsia" w:hAnsiTheme="minorEastAsia" w:eastAsiaTheme="minorEastAsia"/>
          <w:sz w:val="28"/>
          <w:szCs w:val="28"/>
        </w:rPr>
      </w:r>
    </w:p>
    <w:p>
      <w:pPr>
        <w:pBdr/>
        <w:spacing w:line="480" w:lineRule="exact"/>
        <w:ind/>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签订日期：</w:t>
      </w:r>
      <w:r>
        <w:rPr>
          <w:rFonts w:hint="eastAsia" w:asciiTheme="minorEastAsia" w:hAnsiTheme="minorEastAsia" w:eastAsiaTheme="minorEastAsia"/>
          <w:sz w:val="28"/>
          <w:szCs w:val="28"/>
        </w:rPr>
        <w:t xml:space="preserve">__________</w:t>
      </w:r>
      <w:r>
        <w:rPr>
          <w:rFonts w:hint="eastAsia" w:asciiTheme="minorEastAsia" w:hAnsiTheme="minorEastAsia" w:eastAsiaTheme="minorEastAsia"/>
          <w:sz w:val="28"/>
          <w:szCs w:val="28"/>
        </w:rPr>
        <w:t xml:space="preserve">年</w:t>
      </w:r>
      <w:r>
        <w:rPr>
          <w:rFonts w:hint="eastAsia" w:asciiTheme="minorEastAsia" w:hAnsiTheme="minorEastAsia" w:eastAsiaTheme="minorEastAsia"/>
          <w:sz w:val="28"/>
          <w:szCs w:val="28"/>
        </w:rPr>
        <w:t xml:space="preserve">______</w:t>
      </w:r>
      <w:r>
        <w:rPr>
          <w:rFonts w:hint="eastAsia" w:asciiTheme="minorEastAsia" w:hAnsiTheme="minorEastAsia" w:eastAsiaTheme="minorEastAsia"/>
          <w:sz w:val="28"/>
          <w:szCs w:val="28"/>
        </w:rPr>
        <w:t xml:space="preserve">月</w:t>
      </w:r>
      <w:r>
        <w:rPr>
          <w:rFonts w:hint="eastAsia" w:asciiTheme="minorEastAsia" w:hAnsiTheme="minorEastAsia" w:eastAsiaTheme="minorEastAsia"/>
          <w:sz w:val="28"/>
          <w:szCs w:val="28"/>
        </w:rPr>
        <w:t xml:space="preserve">______</w:t>
      </w:r>
      <w:r>
        <w:rPr>
          <w:rFonts w:hint="eastAsia" w:asciiTheme="minorEastAsia" w:hAnsiTheme="minorEastAsia" w:eastAsiaTheme="minorEastAsia"/>
          <w:sz w:val="28"/>
          <w:szCs w:val="28"/>
        </w:rPr>
        <w:t xml:space="preserve">日</w:t>
      </w:r>
      <w:r>
        <w:rPr>
          <w:rFonts w:asciiTheme="minorEastAsia" w:hAnsiTheme="minorEastAsia" w:eastAsiaTheme="minorEastAsia"/>
          <w:sz w:val="28"/>
          <w:szCs w:val="28"/>
        </w:rPr>
      </w:r>
    </w:p>
    <w:sectPr>
      <w:footerReference w:type="default" r:id="rId9"/>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黑体">
    <w:panose1 w:val="02010609060101010101"/>
  </w:font>
  <w:font w:name="楷体">
    <w:panose1 w:val="02010609060101010101"/>
  </w:font>
  <w:font w:name="Symbol">
    <w:panose1 w:val="05050102010706020507"/>
  </w:font>
  <w:font w:name="Wingdings">
    <w:panose1 w:val="05000000000000000000"/>
  </w:font>
  <w:font w:name="宋体">
    <w:panose1 w:val="02010600030101010101"/>
  </w:font>
  <w:font w:name="Courier New">
    <w:panose1 w:val="02070309020205020404"/>
  </w:font>
  <w:font w:name="Times New Roman">
    <w:panose1 w:val="02020603050405020304"/>
  </w:font>
  <w:font w:name="Arial">
    <w:panose1 w:val="020B06040202020202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07068902"/>
      <w:rPr/>
    </w:sdtPr>
    <w:sdtContent>
      <w:sdt>
        <w:sdtPr>
          <w15:appearance w15:val="boundingBox"/>
          <w:id w:val="1728636285"/>
          <w:rPr/>
        </w:sdtPr>
        <w:sdtContent>
          <w:p>
            <w:pPr>
              <w:pStyle w:val="698"/>
              <w:pBdr/>
              <w:spacing/>
              <w:ind/>
              <w:jc w:val="center"/>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xml:space="preserve">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 xml:space="preserve">8</w:t>
            </w:r>
            <w:r>
              <w:rPr>
                <w:b/>
                <w:bCs/>
                <w:sz w:val="24"/>
                <w:szCs w:val="24"/>
              </w:rPr>
              <w:fldChar w:fldCharType="end"/>
            </w:r>
            <w:r/>
          </w:p>
        </w:sdtContent>
      </w:sdt>
    </w:sdtContent>
  </w:sdt>
  <w:p>
    <w:pPr>
      <w:pStyle w:val="69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17"/>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2"/>
    <w:next w:val="69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93"/>
    <w:link w:val="13"/>
    <w:uiPriority w:val="9"/>
    <w:pPr>
      <w:pBdr/>
      <w:spacing/>
      <w:ind/>
    </w:pPr>
    <w:rPr>
      <w:rFonts w:ascii="等线" w:hAnsi="等线" w:eastAsia="等线" w:cs="等线"/>
      <w:sz w:val="40"/>
      <w:szCs w:val="40"/>
    </w:rPr>
  </w:style>
  <w:style w:type="paragraph" w:styleId="15">
    <w:name w:val="Heading 2"/>
    <w:basedOn w:val="692"/>
    <w:next w:val="69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93"/>
    <w:link w:val="15"/>
    <w:uiPriority w:val="9"/>
    <w:pPr>
      <w:pBdr/>
      <w:spacing/>
      <w:ind/>
    </w:pPr>
    <w:rPr>
      <w:rFonts w:ascii="等线" w:hAnsi="等线" w:eastAsia="等线" w:cs="等线"/>
      <w:sz w:val="34"/>
    </w:rPr>
  </w:style>
  <w:style w:type="paragraph" w:styleId="17">
    <w:name w:val="Heading 3"/>
    <w:basedOn w:val="692"/>
    <w:next w:val="69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93"/>
    <w:link w:val="17"/>
    <w:uiPriority w:val="9"/>
    <w:pPr>
      <w:pBdr/>
      <w:spacing/>
      <w:ind/>
    </w:pPr>
    <w:rPr>
      <w:rFonts w:ascii="等线" w:hAnsi="等线" w:eastAsia="等线" w:cs="等线"/>
      <w:sz w:val="30"/>
      <w:szCs w:val="30"/>
    </w:rPr>
  </w:style>
  <w:style w:type="paragraph" w:styleId="19">
    <w:name w:val="Heading 4"/>
    <w:basedOn w:val="692"/>
    <w:next w:val="69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93"/>
    <w:link w:val="19"/>
    <w:uiPriority w:val="9"/>
    <w:pPr>
      <w:pBdr/>
      <w:spacing/>
      <w:ind/>
    </w:pPr>
    <w:rPr>
      <w:rFonts w:ascii="等线" w:hAnsi="等线" w:eastAsia="等线" w:cs="等线"/>
      <w:b/>
      <w:bCs/>
      <w:sz w:val="26"/>
      <w:szCs w:val="26"/>
    </w:rPr>
  </w:style>
  <w:style w:type="paragraph" w:styleId="21">
    <w:name w:val="Heading 5"/>
    <w:basedOn w:val="692"/>
    <w:next w:val="69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93"/>
    <w:link w:val="21"/>
    <w:uiPriority w:val="9"/>
    <w:pPr>
      <w:pBdr/>
      <w:spacing/>
      <w:ind/>
    </w:pPr>
    <w:rPr>
      <w:rFonts w:ascii="等线" w:hAnsi="等线" w:eastAsia="等线" w:cs="等线"/>
      <w:b/>
      <w:bCs/>
      <w:sz w:val="24"/>
      <w:szCs w:val="24"/>
    </w:rPr>
  </w:style>
  <w:style w:type="paragraph" w:styleId="23">
    <w:name w:val="Heading 6"/>
    <w:basedOn w:val="692"/>
    <w:next w:val="69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93"/>
    <w:link w:val="23"/>
    <w:uiPriority w:val="9"/>
    <w:pPr>
      <w:pBdr/>
      <w:spacing/>
      <w:ind/>
    </w:pPr>
    <w:rPr>
      <w:rFonts w:ascii="等线" w:hAnsi="等线" w:eastAsia="等线" w:cs="等线"/>
      <w:b/>
      <w:bCs/>
      <w:sz w:val="22"/>
      <w:szCs w:val="22"/>
    </w:rPr>
  </w:style>
  <w:style w:type="paragraph" w:styleId="25">
    <w:name w:val="Heading 7"/>
    <w:basedOn w:val="692"/>
    <w:next w:val="69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93"/>
    <w:link w:val="25"/>
    <w:uiPriority w:val="9"/>
    <w:pPr>
      <w:pBdr/>
      <w:spacing/>
      <w:ind/>
    </w:pPr>
    <w:rPr>
      <w:rFonts w:ascii="等线" w:hAnsi="等线" w:eastAsia="等线" w:cs="等线"/>
      <w:b/>
      <w:bCs/>
      <w:i/>
      <w:iCs/>
      <w:sz w:val="22"/>
      <w:szCs w:val="22"/>
    </w:rPr>
  </w:style>
  <w:style w:type="paragraph" w:styleId="27">
    <w:name w:val="Heading 8"/>
    <w:basedOn w:val="692"/>
    <w:next w:val="69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93"/>
    <w:link w:val="27"/>
    <w:uiPriority w:val="9"/>
    <w:pPr>
      <w:pBdr/>
      <w:spacing/>
      <w:ind/>
    </w:pPr>
    <w:rPr>
      <w:rFonts w:ascii="等线" w:hAnsi="等线" w:eastAsia="等线" w:cs="等线"/>
      <w:i/>
      <w:iCs/>
      <w:sz w:val="22"/>
      <w:szCs w:val="22"/>
    </w:rPr>
  </w:style>
  <w:style w:type="paragraph" w:styleId="29">
    <w:name w:val="Heading 9"/>
    <w:basedOn w:val="692"/>
    <w:next w:val="69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93"/>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92"/>
    <w:next w:val="692"/>
    <w:link w:val="35"/>
    <w:uiPriority w:val="10"/>
    <w:qFormat/>
    <w:pPr>
      <w:pBdr/>
      <w:spacing w:after="200" w:before="300"/>
      <w:ind/>
      <w:contextualSpacing w:val="true"/>
    </w:pPr>
    <w:rPr>
      <w:sz w:val="48"/>
      <w:szCs w:val="48"/>
    </w:rPr>
  </w:style>
  <w:style w:type="character" w:styleId="35">
    <w:name w:val="Title Char"/>
    <w:basedOn w:val="693"/>
    <w:link w:val="34"/>
    <w:uiPriority w:val="10"/>
    <w:pPr>
      <w:pBdr/>
      <w:spacing/>
      <w:ind/>
    </w:pPr>
    <w:rPr>
      <w:sz w:val="48"/>
      <w:szCs w:val="48"/>
    </w:rPr>
  </w:style>
  <w:style w:type="paragraph" w:styleId="36">
    <w:name w:val="Subtitle"/>
    <w:basedOn w:val="692"/>
    <w:next w:val="692"/>
    <w:link w:val="37"/>
    <w:uiPriority w:val="11"/>
    <w:qFormat/>
    <w:pPr>
      <w:pBdr/>
      <w:spacing w:after="200" w:before="200"/>
      <w:ind/>
    </w:pPr>
    <w:rPr>
      <w:sz w:val="24"/>
      <w:szCs w:val="24"/>
    </w:rPr>
  </w:style>
  <w:style w:type="character" w:styleId="37">
    <w:name w:val="Subtitle Char"/>
    <w:basedOn w:val="693"/>
    <w:link w:val="36"/>
    <w:uiPriority w:val="11"/>
    <w:pPr>
      <w:pBdr/>
      <w:spacing/>
      <w:ind/>
    </w:pPr>
    <w:rPr>
      <w:sz w:val="24"/>
      <w:szCs w:val="24"/>
    </w:rPr>
  </w:style>
  <w:style w:type="paragraph" w:styleId="38">
    <w:name w:val="Quote"/>
    <w:basedOn w:val="692"/>
    <w:next w:val="69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92"/>
    <w:next w:val="69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93"/>
    <w:link w:val="699"/>
    <w:uiPriority w:val="99"/>
    <w:pPr>
      <w:pBdr/>
      <w:spacing/>
      <w:ind/>
    </w:pPr>
  </w:style>
  <w:style w:type="character" w:styleId="45">
    <w:name w:val="Footer Char"/>
    <w:basedOn w:val="693"/>
    <w:link w:val="698"/>
    <w:uiPriority w:val="99"/>
    <w:pPr>
      <w:pBdr/>
      <w:spacing/>
      <w:ind/>
    </w:pPr>
  </w:style>
  <w:style w:type="paragraph" w:styleId="46">
    <w:name w:val="Caption"/>
    <w:basedOn w:val="692"/>
    <w:next w:val="69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8"/>
    <w:uiPriority w:val="99"/>
    <w:pPr>
      <w:pBdr/>
      <w:spacing/>
      <w:ind/>
    </w:pPr>
  </w:style>
  <w:style w:type="table" w:styleId="48">
    <w:name w:val="Table Grid"/>
    <w:basedOn w:val="69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9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9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9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9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9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9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3"/>
    <w:uiPriority w:val="99"/>
    <w:unhideWhenUsed/>
    <w:pPr>
      <w:pBdr/>
      <w:spacing/>
      <w:ind/>
    </w:pPr>
    <w:rPr>
      <w:vertAlign w:val="superscript"/>
    </w:rPr>
  </w:style>
  <w:style w:type="paragraph" w:styleId="178">
    <w:name w:val="endnote text"/>
    <w:basedOn w:val="69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3"/>
    <w:uiPriority w:val="99"/>
    <w:semiHidden/>
    <w:unhideWhenUsed/>
    <w:pPr>
      <w:pBdr/>
      <w:spacing/>
      <w:ind/>
    </w:pPr>
    <w:rPr>
      <w:vertAlign w:val="superscript"/>
    </w:rPr>
  </w:style>
  <w:style w:type="paragraph" w:styleId="181">
    <w:name w:val="toc 1"/>
    <w:basedOn w:val="692"/>
    <w:next w:val="692"/>
    <w:uiPriority w:val="39"/>
    <w:unhideWhenUsed/>
    <w:pPr>
      <w:pBdr/>
      <w:spacing w:after="57"/>
      <w:ind w:right="0" w:firstLine="0" w:left="0"/>
    </w:pPr>
  </w:style>
  <w:style w:type="paragraph" w:styleId="182">
    <w:name w:val="toc 2"/>
    <w:basedOn w:val="692"/>
    <w:next w:val="692"/>
    <w:uiPriority w:val="39"/>
    <w:unhideWhenUsed/>
    <w:pPr>
      <w:pBdr/>
      <w:spacing w:after="57"/>
      <w:ind w:right="0" w:firstLine="0" w:left="283"/>
    </w:pPr>
  </w:style>
  <w:style w:type="paragraph" w:styleId="183">
    <w:name w:val="toc 3"/>
    <w:basedOn w:val="692"/>
    <w:next w:val="692"/>
    <w:uiPriority w:val="39"/>
    <w:unhideWhenUsed/>
    <w:pPr>
      <w:pBdr/>
      <w:spacing w:after="57"/>
      <w:ind w:right="0" w:firstLine="0" w:left="567"/>
    </w:pPr>
  </w:style>
  <w:style w:type="paragraph" w:styleId="184">
    <w:name w:val="toc 4"/>
    <w:basedOn w:val="692"/>
    <w:next w:val="692"/>
    <w:uiPriority w:val="39"/>
    <w:unhideWhenUsed/>
    <w:pPr>
      <w:pBdr/>
      <w:spacing w:after="57"/>
      <w:ind w:right="0" w:firstLine="0" w:left="850"/>
    </w:pPr>
  </w:style>
  <w:style w:type="paragraph" w:styleId="185">
    <w:name w:val="toc 5"/>
    <w:basedOn w:val="692"/>
    <w:next w:val="692"/>
    <w:uiPriority w:val="39"/>
    <w:unhideWhenUsed/>
    <w:pPr>
      <w:pBdr/>
      <w:spacing w:after="57"/>
      <w:ind w:right="0" w:firstLine="0" w:left="1134"/>
    </w:pPr>
  </w:style>
  <w:style w:type="paragraph" w:styleId="186">
    <w:name w:val="toc 6"/>
    <w:basedOn w:val="692"/>
    <w:next w:val="692"/>
    <w:uiPriority w:val="39"/>
    <w:unhideWhenUsed/>
    <w:pPr>
      <w:pBdr/>
      <w:spacing w:after="57"/>
      <w:ind w:right="0" w:firstLine="0" w:left="1417"/>
    </w:pPr>
  </w:style>
  <w:style w:type="paragraph" w:styleId="187">
    <w:name w:val="toc 7"/>
    <w:basedOn w:val="692"/>
    <w:next w:val="692"/>
    <w:uiPriority w:val="39"/>
    <w:unhideWhenUsed/>
    <w:pPr>
      <w:pBdr/>
      <w:spacing w:after="57"/>
      <w:ind w:right="0" w:firstLine="0" w:left="1701"/>
    </w:pPr>
  </w:style>
  <w:style w:type="paragraph" w:styleId="188">
    <w:name w:val="toc 8"/>
    <w:basedOn w:val="692"/>
    <w:next w:val="692"/>
    <w:uiPriority w:val="39"/>
    <w:unhideWhenUsed/>
    <w:pPr>
      <w:pBdr/>
      <w:spacing w:after="57"/>
      <w:ind w:right="0" w:firstLine="0" w:left="1984"/>
    </w:pPr>
  </w:style>
  <w:style w:type="paragraph" w:styleId="189">
    <w:name w:val="toc 9"/>
    <w:basedOn w:val="692"/>
    <w:next w:val="69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92"/>
    <w:next w:val="692"/>
    <w:uiPriority w:val="99"/>
    <w:unhideWhenUsed/>
    <w:pPr>
      <w:pBdr/>
      <w:spacing w:after="0" w:afterAutospacing="0"/>
      <w:ind/>
    </w:pPr>
  </w:style>
  <w:style w:type="paragraph" w:styleId="692" w:default="1">
    <w:name w:val="Normal"/>
    <w:qFormat/>
    <w:pPr>
      <w:widowControl w:val="false"/>
      <w:pBdr/>
      <w:spacing/>
      <w:ind/>
      <w:jc w:val="both"/>
    </w:pPr>
    <w:rPr>
      <w:rFonts w:ascii="Times New Roman" w:hAnsi="Times New Roman" w:eastAsia="宋体" w:cs="Times New Roman"/>
      <w:sz w:val="21"/>
    </w:rPr>
  </w:style>
  <w:style w:type="character" w:styleId="693" w:default="1">
    <w:name w:val="Default Paragraph Font"/>
    <w:uiPriority w:val="1"/>
    <w:unhideWhenUsed/>
    <w:pPr>
      <w:pBdr/>
      <w:spacing/>
      <w:ind/>
    </w:pPr>
  </w:style>
  <w:style w:type="table" w:styleId="69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5" w:default="1">
    <w:name w:val="No List"/>
    <w:uiPriority w:val="99"/>
    <w:semiHidden/>
    <w:unhideWhenUsed/>
    <w:pPr>
      <w:pBdr/>
      <w:spacing/>
      <w:ind/>
    </w:pPr>
  </w:style>
  <w:style w:type="paragraph" w:styleId="696">
    <w:name w:val="Plain Text"/>
    <w:basedOn w:val="692"/>
    <w:uiPriority w:val="99"/>
    <w:unhideWhenUsed/>
    <w:qFormat/>
    <w:pPr>
      <w:pBdr/>
      <w:spacing/>
      <w:ind/>
    </w:pPr>
    <w:rPr>
      <w:rFonts w:ascii="宋体" w:hAnsi="Courier New"/>
      <w:szCs w:val="21"/>
    </w:rPr>
  </w:style>
  <w:style w:type="paragraph" w:styleId="697">
    <w:name w:val="Balloon Text"/>
    <w:basedOn w:val="692"/>
    <w:link w:val="703"/>
    <w:uiPriority w:val="99"/>
    <w:semiHidden/>
    <w:unhideWhenUsed/>
    <w:qFormat/>
    <w:pPr>
      <w:pBdr/>
      <w:spacing/>
      <w:ind/>
    </w:pPr>
    <w:rPr>
      <w:sz w:val="18"/>
      <w:szCs w:val="18"/>
    </w:rPr>
  </w:style>
  <w:style w:type="paragraph" w:styleId="698">
    <w:name w:val="Footer"/>
    <w:basedOn w:val="692"/>
    <w:link w:val="701"/>
    <w:uiPriority w:val="99"/>
    <w:unhideWhenUsed/>
    <w:qFormat/>
    <w:pPr>
      <w:pBdr/>
      <w:tabs>
        <w:tab w:val="center" w:leader="none" w:pos="4153"/>
        <w:tab w:val="right" w:leader="none" w:pos="8306"/>
      </w:tabs>
      <w:spacing/>
      <w:ind/>
      <w:jc w:val="left"/>
    </w:pPr>
    <w:rPr>
      <w:sz w:val="18"/>
      <w:szCs w:val="18"/>
    </w:rPr>
  </w:style>
  <w:style w:type="paragraph" w:styleId="699">
    <w:name w:val="Header"/>
    <w:basedOn w:val="692"/>
    <w:link w:val="700"/>
    <w:uiPriority w:val="99"/>
    <w:unhideWhenUsed/>
    <w:qFormat/>
    <w:pPr>
      <w:pBdr>
        <w:bottom w:val="single" w:color="000000" w:sz="6" w:space="1"/>
      </w:pBdr>
      <w:tabs>
        <w:tab w:val="center" w:leader="none" w:pos="4153"/>
        <w:tab w:val="right" w:leader="none" w:pos="8306"/>
      </w:tabs>
      <w:spacing/>
      <w:ind/>
      <w:jc w:val="center"/>
    </w:pPr>
    <w:rPr>
      <w:sz w:val="18"/>
      <w:szCs w:val="18"/>
    </w:rPr>
  </w:style>
  <w:style w:type="character" w:styleId="700" w:customStyle="1">
    <w:name w:val="页眉 字符"/>
    <w:basedOn w:val="693"/>
    <w:link w:val="699"/>
    <w:uiPriority w:val="99"/>
    <w:semiHidden/>
    <w:qFormat/>
    <w:pPr>
      <w:pBdr/>
      <w:spacing/>
      <w:ind/>
    </w:pPr>
    <w:rPr>
      <w:rFonts w:ascii="Times New Roman" w:hAnsi="Times New Roman" w:eastAsia="宋体" w:cs="Times New Roman"/>
      <w:sz w:val="18"/>
      <w:szCs w:val="18"/>
    </w:rPr>
  </w:style>
  <w:style w:type="character" w:styleId="701" w:customStyle="1">
    <w:name w:val="页脚 字符"/>
    <w:basedOn w:val="693"/>
    <w:link w:val="698"/>
    <w:uiPriority w:val="99"/>
    <w:qFormat/>
    <w:pPr>
      <w:pBdr/>
      <w:spacing/>
      <w:ind/>
    </w:pPr>
    <w:rPr>
      <w:rFonts w:ascii="Times New Roman" w:hAnsi="Times New Roman" w:eastAsia="宋体" w:cs="Times New Roman"/>
      <w:sz w:val="18"/>
      <w:szCs w:val="18"/>
    </w:rPr>
  </w:style>
  <w:style w:type="paragraph" w:styleId="702">
    <w:name w:val="List Paragraph"/>
    <w:basedOn w:val="692"/>
    <w:uiPriority w:val="99"/>
    <w:qFormat/>
    <w:pPr>
      <w:pBdr/>
      <w:spacing/>
      <w:ind w:firstLine="420"/>
    </w:pPr>
    <w:rPr>
      <w:rFonts w:asciiTheme="minorHAnsi" w:hAnsiTheme="minorHAnsi" w:eastAsiaTheme="minorEastAsia" w:cstheme="minorBidi"/>
      <w:szCs w:val="22"/>
    </w:rPr>
  </w:style>
  <w:style w:type="character" w:styleId="703" w:customStyle="1">
    <w:name w:val="批注框文本 字符"/>
    <w:basedOn w:val="693"/>
    <w:link w:val="697"/>
    <w:uiPriority w:val="99"/>
    <w:semiHidden/>
    <w:pPr>
      <w:pBdr/>
      <w:spacing/>
      <w:ind/>
    </w:pPr>
    <w:rPr>
      <w:rFonts w:ascii="Times New Roman" w:hAnsi="Times New Roman" w:eastAsia="宋体" w:cs="Times New Roman"/>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xielaoshi</dc:creator>
  <cp:lastModifiedBy>匿名</cp:lastModifiedBy>
  <cp:revision>13</cp:revision>
  <dcterms:created xsi:type="dcterms:W3CDTF">2025-03-20T03:02:00Z</dcterms:created>
  <dcterms:modified xsi:type="dcterms:W3CDTF">2026-06-08T02:00:29Z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4BD75004A13746E0A853ED2A102E9470_13</vt:lpwstr>
  </property>
  <property fmtid="{D5CDD505-2E9C-101B-9397-08002B2CF9AE}" pid="4" name="KSOTemplateDocerSaveRecord">
    <vt:lpwstr>eyJoZGlkIjoiYjFjMDFkYTQ4MjdmOWMxYjJkZjYyZWQ1YWJjMjljNTgiLCJ1c2VySWQiOiI0MTI1NjEzNzgifQ==</vt:lpwstr>
  </property>
</Properties>
</file>