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2F2F2" w:themeColor="background1" w:themeShade="F2"/>
  <w:body>
    <w:p w14:paraId="2CE119EB">
      <w:pPr>
        <w:ind w:firstLine="161" w:firstLineChars="50"/>
        <w:jc w:val="center"/>
        <w:rPr>
          <w:rFonts w:ascii="楷体" w:hAnsi="楷体" w:eastAsia="楷体"/>
          <w:b/>
          <w:bCs/>
          <w:color w:val="000000"/>
          <w:sz w:val="32"/>
          <w:szCs w:val="32"/>
        </w:rPr>
      </w:pPr>
    </w:p>
    <w:p w14:paraId="727B5B76">
      <w:pPr>
        <w:ind w:firstLine="161" w:firstLineChars="50"/>
        <w:jc w:val="center"/>
        <w:rPr>
          <w:rFonts w:ascii="楷体" w:hAnsi="楷体" w:eastAsia="楷体"/>
          <w:b/>
          <w:bCs/>
          <w:color w:val="000000"/>
          <w:sz w:val="32"/>
          <w:szCs w:val="32"/>
        </w:rPr>
      </w:pPr>
    </w:p>
    <w:p w14:paraId="52F208DA">
      <w:pPr>
        <w:ind w:firstLine="161" w:firstLineChars="50"/>
        <w:jc w:val="center"/>
        <w:rPr>
          <w:rFonts w:ascii="楷体" w:hAnsi="楷体" w:eastAsia="楷体"/>
          <w:b/>
          <w:bCs/>
          <w:color w:val="000000"/>
          <w:sz w:val="32"/>
          <w:szCs w:val="32"/>
        </w:rPr>
      </w:pPr>
    </w:p>
    <w:tbl>
      <w:tblPr>
        <w:tblStyle w:val="7"/>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660"/>
        <w:gridCol w:w="7039"/>
      </w:tblGrid>
      <w:tr w14:paraId="75AF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9699" w:type="dxa"/>
            <w:gridSpan w:val="2"/>
            <w:tcBorders>
              <w:top w:val="nil"/>
              <w:left w:val="nil"/>
              <w:bottom w:val="nil"/>
              <w:right w:val="nil"/>
            </w:tcBorders>
            <w:vAlign w:val="center"/>
          </w:tcPr>
          <w:p w14:paraId="0E70B7CA">
            <w:pPr>
              <w:pStyle w:val="3"/>
              <w:jc w:val="center"/>
              <w:rPr>
                <w:rFonts w:ascii="黑体" w:eastAsia="黑体"/>
                <w:b/>
                <w:color w:val="000000"/>
                <w:sz w:val="52"/>
              </w:rPr>
            </w:pPr>
            <w:r>
              <w:rPr>
                <w:rFonts w:hint="eastAsia" w:ascii="黑体" w:eastAsia="黑体"/>
                <w:b/>
                <w:color w:val="000000"/>
                <w:sz w:val="48"/>
                <w:szCs w:val="48"/>
              </w:rPr>
              <w:t>修缮工程施工</w:t>
            </w:r>
            <w:r>
              <w:rPr>
                <w:rFonts w:hint="eastAsia" w:ascii="黑体" w:eastAsia="黑体"/>
                <w:b/>
                <w:color w:val="000000"/>
                <w:spacing w:val="24"/>
                <w:sz w:val="48"/>
                <w:szCs w:val="48"/>
              </w:rPr>
              <w:t>合同</w:t>
            </w:r>
          </w:p>
        </w:tc>
      </w:tr>
      <w:tr w14:paraId="1B02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20" w:hRule="atLeast"/>
          <w:jc w:val="center"/>
        </w:trPr>
        <w:tc>
          <w:tcPr>
            <w:tcW w:w="9699" w:type="dxa"/>
            <w:gridSpan w:val="2"/>
            <w:tcBorders>
              <w:top w:val="nil"/>
              <w:left w:val="nil"/>
              <w:bottom w:val="nil"/>
              <w:right w:val="nil"/>
            </w:tcBorders>
            <w:vAlign w:val="center"/>
          </w:tcPr>
          <w:p w14:paraId="2C980D6B">
            <w:pPr>
              <w:pStyle w:val="3"/>
              <w:rPr>
                <w:color w:val="000000"/>
              </w:rPr>
            </w:pPr>
          </w:p>
          <w:p w14:paraId="040A02C6">
            <w:pPr>
              <w:pStyle w:val="3"/>
              <w:rPr>
                <w:color w:val="000000"/>
              </w:rPr>
            </w:pPr>
          </w:p>
          <w:p w14:paraId="21234CD4">
            <w:pPr>
              <w:pStyle w:val="3"/>
              <w:jc w:val="center"/>
              <w:rPr>
                <w:color w:val="000000"/>
              </w:rPr>
            </w:pPr>
          </w:p>
          <w:p w14:paraId="2E9EEE1A">
            <w:pPr>
              <w:pStyle w:val="3"/>
              <w:rPr>
                <w:color w:val="000000"/>
              </w:rPr>
            </w:pPr>
          </w:p>
        </w:tc>
      </w:tr>
      <w:tr w14:paraId="694A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30" w:hRule="atLeast"/>
          <w:jc w:val="center"/>
        </w:trPr>
        <w:tc>
          <w:tcPr>
            <w:tcW w:w="2660" w:type="dxa"/>
            <w:tcBorders>
              <w:top w:val="nil"/>
              <w:left w:val="nil"/>
              <w:bottom w:val="nil"/>
              <w:right w:val="nil"/>
            </w:tcBorders>
            <w:vAlign w:val="bottom"/>
          </w:tcPr>
          <w:p w14:paraId="11706999">
            <w:pPr>
              <w:pStyle w:val="3"/>
              <w:jc w:val="distribute"/>
              <w:rPr>
                <w:rFonts w:ascii="Times New Roman" w:hAnsi="Times New Roman" w:eastAsia="黑体"/>
                <w:b/>
                <w:color w:val="000000"/>
                <w:sz w:val="30"/>
              </w:rPr>
            </w:pPr>
            <w:r>
              <w:rPr>
                <w:rFonts w:hint="eastAsia" w:ascii="Times New Roman" w:hAnsi="Times New Roman" w:eastAsia="黑体"/>
                <w:b/>
                <w:color w:val="000000"/>
                <w:sz w:val="30"/>
              </w:rPr>
              <w:t>项目名称：</w:t>
            </w:r>
          </w:p>
        </w:tc>
        <w:tc>
          <w:tcPr>
            <w:tcW w:w="7039" w:type="dxa"/>
            <w:tcBorders>
              <w:top w:val="nil"/>
              <w:left w:val="nil"/>
              <w:bottom w:val="single" w:color="auto" w:sz="4" w:space="0"/>
              <w:right w:val="nil"/>
            </w:tcBorders>
            <w:vAlign w:val="bottom"/>
          </w:tcPr>
          <w:p w14:paraId="3D77E780">
            <w:pPr>
              <w:rPr>
                <w:rFonts w:ascii="宋体" w:hAnsi="Courier New"/>
                <w:b/>
                <w:color w:val="000000"/>
                <w:sz w:val="28"/>
                <w:szCs w:val="28"/>
              </w:rPr>
            </w:pPr>
            <w:r>
              <w:rPr>
                <w:rFonts w:hint="eastAsia" w:ascii="黑体" w:eastAsia="黑体"/>
                <w:b/>
                <w:color w:val="000000"/>
                <w:sz w:val="28"/>
                <w:szCs w:val="28"/>
              </w:rPr>
              <w:t>上川路校区*</w:t>
            </w:r>
            <w:r>
              <w:rPr>
                <w:rFonts w:ascii="黑体" w:eastAsia="黑体"/>
                <w:b/>
                <w:color w:val="000000"/>
                <w:sz w:val="28"/>
                <w:szCs w:val="28"/>
              </w:rPr>
              <w:t>********</w:t>
            </w:r>
            <w:r>
              <w:rPr>
                <w:rFonts w:hint="eastAsia" w:ascii="黑体" w:eastAsia="黑体"/>
                <w:b/>
                <w:color w:val="000000"/>
                <w:sz w:val="28"/>
                <w:szCs w:val="28"/>
              </w:rPr>
              <w:t>工程</w:t>
            </w:r>
          </w:p>
        </w:tc>
      </w:tr>
      <w:tr w14:paraId="0505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30" w:hRule="atLeast"/>
          <w:jc w:val="center"/>
        </w:trPr>
        <w:tc>
          <w:tcPr>
            <w:tcW w:w="2660" w:type="dxa"/>
            <w:tcBorders>
              <w:top w:val="nil"/>
              <w:left w:val="nil"/>
              <w:bottom w:val="nil"/>
              <w:right w:val="nil"/>
            </w:tcBorders>
            <w:vAlign w:val="bottom"/>
          </w:tcPr>
          <w:p w14:paraId="46BB341B">
            <w:pPr>
              <w:pStyle w:val="3"/>
              <w:jc w:val="distribute"/>
              <w:rPr>
                <w:rFonts w:ascii="Times New Roman" w:hAnsi="Times New Roman" w:eastAsia="黑体"/>
                <w:b/>
                <w:color w:val="000000"/>
                <w:sz w:val="30"/>
              </w:rPr>
            </w:pPr>
          </w:p>
          <w:p w14:paraId="544569AD">
            <w:pPr>
              <w:pStyle w:val="3"/>
              <w:jc w:val="distribute"/>
              <w:rPr>
                <w:rFonts w:ascii="Times New Roman" w:hAnsi="Times New Roman" w:eastAsia="黑体"/>
                <w:b/>
                <w:color w:val="000000"/>
                <w:sz w:val="30"/>
              </w:rPr>
            </w:pPr>
          </w:p>
          <w:p w14:paraId="0E183305">
            <w:pPr>
              <w:pStyle w:val="3"/>
              <w:jc w:val="distribute"/>
              <w:rPr>
                <w:rFonts w:ascii="Times New Roman" w:hAnsi="Times New Roman" w:eastAsia="黑体"/>
                <w:b/>
                <w:color w:val="000000"/>
                <w:sz w:val="30"/>
              </w:rPr>
            </w:pPr>
            <w:r>
              <w:rPr>
                <w:rFonts w:hint="eastAsia" w:ascii="Times New Roman" w:hAnsi="Times New Roman" w:eastAsia="黑体"/>
                <w:b/>
                <w:color w:val="000000"/>
                <w:sz w:val="30"/>
              </w:rPr>
              <w:t>发包方（甲方）：</w:t>
            </w:r>
          </w:p>
        </w:tc>
        <w:tc>
          <w:tcPr>
            <w:tcW w:w="7039" w:type="dxa"/>
            <w:tcBorders>
              <w:top w:val="nil"/>
              <w:left w:val="nil"/>
              <w:bottom w:val="single" w:color="auto" w:sz="4" w:space="0"/>
              <w:right w:val="nil"/>
            </w:tcBorders>
            <w:vAlign w:val="bottom"/>
          </w:tcPr>
          <w:p w14:paraId="727F6156">
            <w:pPr>
              <w:rPr>
                <w:rFonts w:hAnsi="宋体"/>
                <w:b/>
                <w:color w:val="000000"/>
                <w:sz w:val="30"/>
              </w:rPr>
            </w:pPr>
            <w:r>
              <w:rPr>
                <w:rFonts w:hint="eastAsia" w:ascii="宋体" w:hAnsi="Courier New"/>
                <w:b/>
                <w:color w:val="000000"/>
                <w:sz w:val="28"/>
                <w:szCs w:val="21"/>
              </w:rPr>
              <w:t>上海立信会计金融学院</w:t>
            </w:r>
          </w:p>
        </w:tc>
      </w:tr>
      <w:tr w14:paraId="6FD5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2660" w:type="dxa"/>
            <w:tcBorders>
              <w:top w:val="nil"/>
              <w:left w:val="nil"/>
              <w:bottom w:val="nil"/>
              <w:right w:val="nil"/>
            </w:tcBorders>
            <w:vAlign w:val="bottom"/>
          </w:tcPr>
          <w:p w14:paraId="4C4825F3">
            <w:pPr>
              <w:pStyle w:val="3"/>
              <w:jc w:val="distribute"/>
              <w:rPr>
                <w:rFonts w:ascii="Times New Roman" w:hAnsi="Times New Roman" w:eastAsia="黑体"/>
                <w:b/>
                <w:color w:val="000000"/>
                <w:sz w:val="30"/>
              </w:rPr>
            </w:pPr>
          </w:p>
          <w:p w14:paraId="5D4F6735">
            <w:pPr>
              <w:pStyle w:val="3"/>
              <w:jc w:val="distribute"/>
              <w:rPr>
                <w:rFonts w:ascii="Times New Roman" w:hAnsi="Times New Roman" w:eastAsia="黑体"/>
                <w:b/>
                <w:color w:val="000000"/>
                <w:sz w:val="30"/>
              </w:rPr>
            </w:pPr>
          </w:p>
          <w:p w14:paraId="2FEBFC48">
            <w:pPr>
              <w:pStyle w:val="3"/>
              <w:jc w:val="distribute"/>
              <w:rPr>
                <w:rFonts w:ascii="Times New Roman" w:hAnsi="Times New Roman" w:eastAsia="黑体"/>
                <w:b/>
                <w:color w:val="000000"/>
                <w:sz w:val="30"/>
              </w:rPr>
            </w:pPr>
            <w:r>
              <w:rPr>
                <w:rFonts w:hint="eastAsia" w:ascii="Times New Roman" w:hAnsi="Times New Roman" w:eastAsia="黑体"/>
                <w:b/>
                <w:color w:val="000000"/>
                <w:sz w:val="30"/>
              </w:rPr>
              <w:t>承包方（乙方）：</w:t>
            </w:r>
          </w:p>
        </w:tc>
        <w:tc>
          <w:tcPr>
            <w:tcW w:w="7039" w:type="dxa"/>
            <w:tcBorders>
              <w:top w:val="single" w:color="auto" w:sz="4" w:space="0"/>
              <w:left w:val="nil"/>
              <w:bottom w:val="single" w:color="auto" w:sz="4" w:space="0"/>
              <w:right w:val="nil"/>
            </w:tcBorders>
            <w:vAlign w:val="bottom"/>
          </w:tcPr>
          <w:p w14:paraId="707324A8">
            <w:pPr>
              <w:rPr>
                <w:b/>
                <w:color w:val="000000"/>
                <w:sz w:val="28"/>
              </w:rPr>
            </w:pPr>
          </w:p>
        </w:tc>
      </w:tr>
      <w:tr w14:paraId="5518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2660" w:type="dxa"/>
            <w:tcBorders>
              <w:top w:val="nil"/>
              <w:left w:val="nil"/>
              <w:bottom w:val="nil"/>
              <w:right w:val="nil"/>
            </w:tcBorders>
            <w:vAlign w:val="bottom"/>
          </w:tcPr>
          <w:p w14:paraId="091970BA">
            <w:pPr>
              <w:pStyle w:val="3"/>
              <w:jc w:val="center"/>
              <w:rPr>
                <w:rFonts w:ascii="Times New Roman" w:hAnsi="Times New Roman" w:eastAsia="黑体"/>
                <w:b/>
                <w:color w:val="000000"/>
                <w:sz w:val="30"/>
              </w:rPr>
            </w:pPr>
          </w:p>
        </w:tc>
        <w:tc>
          <w:tcPr>
            <w:tcW w:w="7039" w:type="dxa"/>
            <w:tcBorders>
              <w:top w:val="single" w:color="auto" w:sz="4" w:space="0"/>
              <w:left w:val="nil"/>
              <w:bottom w:val="nil"/>
              <w:right w:val="nil"/>
            </w:tcBorders>
            <w:vAlign w:val="bottom"/>
          </w:tcPr>
          <w:p w14:paraId="51FE56F8">
            <w:pPr>
              <w:pStyle w:val="3"/>
              <w:rPr>
                <w:b/>
                <w:color w:val="000000"/>
                <w:sz w:val="28"/>
                <w:szCs w:val="28"/>
              </w:rPr>
            </w:pPr>
          </w:p>
        </w:tc>
      </w:tr>
      <w:tr w14:paraId="5C9B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2660" w:type="dxa"/>
            <w:tcBorders>
              <w:top w:val="nil"/>
              <w:left w:val="nil"/>
              <w:bottom w:val="nil"/>
              <w:right w:val="nil"/>
            </w:tcBorders>
            <w:vAlign w:val="bottom"/>
          </w:tcPr>
          <w:p w14:paraId="4DBBB08D">
            <w:pPr>
              <w:pStyle w:val="3"/>
              <w:jc w:val="center"/>
              <w:rPr>
                <w:rFonts w:ascii="Times New Roman" w:hAnsi="Times New Roman" w:eastAsia="黑体"/>
                <w:b/>
                <w:color w:val="000000"/>
                <w:sz w:val="30"/>
              </w:rPr>
            </w:pPr>
          </w:p>
        </w:tc>
        <w:tc>
          <w:tcPr>
            <w:tcW w:w="7039" w:type="dxa"/>
            <w:tcBorders>
              <w:top w:val="nil"/>
              <w:left w:val="nil"/>
              <w:bottom w:val="nil"/>
              <w:right w:val="nil"/>
            </w:tcBorders>
            <w:vAlign w:val="bottom"/>
          </w:tcPr>
          <w:p w14:paraId="7A018F4D">
            <w:pPr>
              <w:pStyle w:val="3"/>
              <w:rPr>
                <w:b/>
                <w:color w:val="000000"/>
                <w:sz w:val="28"/>
              </w:rPr>
            </w:pPr>
          </w:p>
        </w:tc>
      </w:tr>
      <w:tr w14:paraId="6FE4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30" w:hRule="atLeast"/>
          <w:jc w:val="center"/>
        </w:trPr>
        <w:tc>
          <w:tcPr>
            <w:tcW w:w="2660" w:type="dxa"/>
            <w:tcBorders>
              <w:top w:val="nil"/>
              <w:left w:val="nil"/>
              <w:bottom w:val="nil"/>
              <w:right w:val="nil"/>
            </w:tcBorders>
            <w:vAlign w:val="bottom"/>
          </w:tcPr>
          <w:p w14:paraId="7C2BCE57">
            <w:pPr>
              <w:pStyle w:val="3"/>
              <w:jc w:val="distribute"/>
              <w:rPr>
                <w:rFonts w:ascii="Times New Roman" w:hAnsi="Times New Roman" w:eastAsia="黑体"/>
                <w:b/>
                <w:color w:val="000000"/>
                <w:sz w:val="30"/>
              </w:rPr>
            </w:pPr>
          </w:p>
        </w:tc>
        <w:tc>
          <w:tcPr>
            <w:tcW w:w="7039" w:type="dxa"/>
            <w:tcBorders>
              <w:top w:val="nil"/>
              <w:left w:val="nil"/>
              <w:bottom w:val="nil"/>
              <w:right w:val="nil"/>
            </w:tcBorders>
            <w:vAlign w:val="bottom"/>
          </w:tcPr>
          <w:p w14:paraId="6F4A15FB">
            <w:pPr>
              <w:pStyle w:val="3"/>
              <w:rPr>
                <w:color w:val="000000"/>
                <w:sz w:val="28"/>
              </w:rPr>
            </w:pPr>
          </w:p>
        </w:tc>
      </w:tr>
    </w:tbl>
    <w:p w14:paraId="39280526">
      <w:pPr>
        <w:ind w:firstLine="161" w:firstLineChars="50"/>
        <w:jc w:val="center"/>
        <w:rPr>
          <w:rFonts w:ascii="楷体" w:hAnsi="楷体" w:eastAsia="楷体"/>
          <w:b/>
          <w:bCs/>
          <w:color w:val="000000"/>
          <w:sz w:val="32"/>
          <w:szCs w:val="32"/>
        </w:rPr>
      </w:pPr>
    </w:p>
    <w:p w14:paraId="0C51248C">
      <w:pPr>
        <w:ind w:firstLine="161" w:firstLineChars="50"/>
        <w:jc w:val="center"/>
        <w:rPr>
          <w:rFonts w:ascii="楷体" w:hAnsi="楷体" w:eastAsia="楷体"/>
          <w:b/>
          <w:bCs/>
          <w:color w:val="000000"/>
          <w:sz w:val="32"/>
          <w:szCs w:val="32"/>
        </w:rPr>
      </w:pPr>
    </w:p>
    <w:p w14:paraId="60CFA996">
      <w:pPr>
        <w:ind w:firstLine="161" w:firstLineChars="50"/>
        <w:jc w:val="center"/>
        <w:rPr>
          <w:rFonts w:ascii="楷体" w:hAnsi="楷体" w:eastAsia="楷体"/>
          <w:b/>
          <w:bCs/>
          <w:color w:val="000000"/>
          <w:sz w:val="32"/>
          <w:szCs w:val="32"/>
        </w:rPr>
      </w:pPr>
    </w:p>
    <w:p w14:paraId="5673B7FF">
      <w:pPr>
        <w:ind w:firstLine="161" w:firstLineChars="50"/>
        <w:jc w:val="center"/>
        <w:rPr>
          <w:rFonts w:ascii="楷体" w:hAnsi="楷体" w:eastAsia="楷体"/>
          <w:b/>
          <w:bCs/>
          <w:color w:val="000000"/>
          <w:sz w:val="32"/>
          <w:szCs w:val="32"/>
        </w:rPr>
      </w:pPr>
    </w:p>
    <w:p w14:paraId="2B3CEE4B">
      <w:pPr>
        <w:jc w:val="left"/>
        <w:rPr>
          <w:rFonts w:asciiTheme="minorEastAsia" w:hAnsiTheme="minorEastAsia" w:eastAsiaTheme="minorEastAsia"/>
          <w:color w:val="000000"/>
          <w:sz w:val="28"/>
          <w:szCs w:val="28"/>
        </w:rPr>
      </w:pPr>
    </w:p>
    <w:p w14:paraId="235164C0">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发包方(以下简称甲方):上海立信会计金融学院</w:t>
      </w:r>
    </w:p>
    <w:p w14:paraId="266FDF3E">
      <w:pPr>
        <w:jc w:val="left"/>
        <w:rPr>
          <w:rFonts w:asciiTheme="minorEastAsia" w:hAnsiTheme="minorEastAsia" w:eastAsiaTheme="minorEastAsia"/>
          <w:color w:val="000000"/>
          <w:sz w:val="28"/>
          <w:szCs w:val="28"/>
        </w:rPr>
      </w:pPr>
    </w:p>
    <w:p w14:paraId="52D91691">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承包方(以下简称乙方):*</w:t>
      </w:r>
      <w:r>
        <w:rPr>
          <w:rFonts w:asciiTheme="minorEastAsia" w:hAnsiTheme="minorEastAsia" w:eastAsiaTheme="minorEastAsia"/>
          <w:color w:val="000000"/>
          <w:sz w:val="28"/>
          <w:szCs w:val="28"/>
        </w:rPr>
        <w:t>*********</w:t>
      </w:r>
    </w:p>
    <w:p w14:paraId="2AA2355B">
      <w:pPr>
        <w:ind w:firstLine="551" w:firstLineChars="197"/>
        <w:jc w:val="left"/>
        <w:rPr>
          <w:rFonts w:asciiTheme="minorEastAsia" w:hAnsiTheme="minorEastAsia" w:eastAsiaTheme="minorEastAsia"/>
          <w:sz w:val="28"/>
          <w:szCs w:val="28"/>
        </w:rPr>
      </w:pPr>
    </w:p>
    <w:p w14:paraId="77799D33">
      <w:pPr>
        <w:ind w:firstLine="551" w:firstLineChars="197"/>
        <w:jc w:val="left"/>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依照《中华人民共和国民法典》及其他有关法律、法规的规定，结合上海立信会计金融学院修缮工程的特点，甲、乙双方在平等自愿、协商一致及《202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年度零星修缮工程储备库协议》的基础上，达成如下协议：</w:t>
      </w:r>
    </w:p>
    <w:p w14:paraId="30CED79C">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  工程概况</w:t>
      </w:r>
    </w:p>
    <w:p w14:paraId="43D41B07">
      <w:pPr>
        <w:ind w:firstLine="560" w:firstLineChars="200"/>
        <w:rPr>
          <w:rFonts w:eastAsia="黑体" w:asciiTheme="minorEastAsia" w:hAnsiTheme="minorEastAsia"/>
          <w:sz w:val="28"/>
          <w:szCs w:val="28"/>
          <w:u w:val="single"/>
        </w:rPr>
      </w:pPr>
      <w:r>
        <w:rPr>
          <w:rFonts w:hint="eastAsia" w:asciiTheme="minorEastAsia" w:hAnsiTheme="minorEastAsia" w:eastAsiaTheme="minorEastAsia"/>
          <w:sz w:val="28"/>
          <w:szCs w:val="28"/>
        </w:rPr>
        <w:t>1、工程名称：</w:t>
      </w:r>
      <w:r>
        <w:rPr>
          <w:rFonts w:hint="eastAsia" w:ascii="黑体" w:eastAsia="黑体"/>
          <w:color w:val="000000"/>
          <w:sz w:val="28"/>
          <w:szCs w:val="28"/>
          <w:u w:val="single"/>
        </w:rPr>
        <w:t>*</w:t>
      </w:r>
      <w:r>
        <w:rPr>
          <w:rFonts w:ascii="黑体" w:eastAsia="黑体"/>
          <w:color w:val="000000"/>
          <w:sz w:val="28"/>
          <w:szCs w:val="28"/>
          <w:u w:val="single"/>
        </w:rPr>
        <w:t>*****</w:t>
      </w:r>
      <w:r>
        <w:rPr>
          <w:rFonts w:hint="eastAsia" w:ascii="黑体" w:eastAsia="黑体"/>
          <w:color w:val="000000"/>
          <w:sz w:val="28"/>
          <w:szCs w:val="28"/>
          <w:u w:val="single"/>
        </w:rPr>
        <w:t>工程</w:t>
      </w:r>
    </w:p>
    <w:p w14:paraId="560AE374">
      <w:pPr>
        <w:ind w:firstLine="560" w:firstLineChars="200"/>
        <w:rPr>
          <w:rFonts w:asciiTheme="minorEastAsia" w:hAnsiTheme="minorEastAsia" w:eastAsiaTheme="minorEastAsia"/>
          <w:sz w:val="28"/>
          <w:szCs w:val="28"/>
          <w:u w:val="single"/>
        </w:rPr>
      </w:pPr>
      <w:r>
        <w:rPr>
          <w:rFonts w:hint="eastAsia" w:asciiTheme="minorEastAsia" w:hAnsiTheme="minorEastAsia" w:eastAsiaTheme="minorEastAsia"/>
          <w:sz w:val="28"/>
          <w:szCs w:val="28"/>
        </w:rPr>
        <w:t>2、工程地点：</w:t>
      </w:r>
      <w:r>
        <w:rPr>
          <w:rFonts w:hint="eastAsia" w:asciiTheme="minorEastAsia" w:hAnsiTheme="minorEastAsia" w:eastAsiaTheme="minorEastAsia"/>
          <w:sz w:val="28"/>
          <w:szCs w:val="28"/>
          <w:u w:val="single"/>
        </w:rPr>
        <w:t>上海立信会计金融学院上川路校区</w:t>
      </w:r>
    </w:p>
    <w:p w14:paraId="6FFFBE11">
      <w:pPr>
        <w:ind w:firstLine="560" w:firstLineChars="200"/>
        <w:rPr>
          <w:rFonts w:asciiTheme="minorEastAsia" w:hAnsiTheme="minorEastAsia" w:eastAsiaTheme="minorEastAsia"/>
          <w:sz w:val="28"/>
          <w:szCs w:val="28"/>
          <w:u w:val="single"/>
        </w:rPr>
      </w:pPr>
      <w:r>
        <w:rPr>
          <w:rFonts w:hint="eastAsia" w:asciiTheme="minorEastAsia" w:hAnsiTheme="minorEastAsia" w:eastAsiaTheme="minorEastAsia"/>
          <w:sz w:val="28"/>
          <w:szCs w:val="28"/>
        </w:rPr>
        <w:t>3、施工部位：</w:t>
      </w:r>
      <w:r>
        <w:rPr>
          <w:rFonts w:hint="eastAsia" w:ascii="黑体" w:eastAsia="黑体"/>
          <w:color w:val="000000"/>
          <w:sz w:val="28"/>
          <w:szCs w:val="28"/>
          <w:u w:val="single"/>
        </w:rPr>
        <w:t>*</w:t>
      </w:r>
      <w:r>
        <w:rPr>
          <w:rFonts w:ascii="黑体" w:eastAsia="黑体"/>
          <w:color w:val="000000"/>
          <w:sz w:val="28"/>
          <w:szCs w:val="28"/>
          <w:u w:val="single"/>
        </w:rPr>
        <w:t>*****</w:t>
      </w:r>
    </w:p>
    <w:p w14:paraId="6545614B">
      <w:pPr>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二、工程承包内容及方式</w:t>
      </w:r>
    </w:p>
    <w:p w14:paraId="000374BD">
      <w:pPr>
        <w:ind w:firstLine="560" w:firstLineChars="200"/>
        <w:rPr>
          <w:rFonts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sz w:val="28"/>
          <w:szCs w:val="28"/>
        </w:rPr>
        <w:t>1、工程承包内容：</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sz w:val="28"/>
          <w:szCs w:val="28"/>
        </w:rPr>
        <w:t>详见项目邀请招标比价文件。</w:t>
      </w:r>
    </w:p>
    <w:p w14:paraId="5B9F5987">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2、工程承包方式：</w:t>
      </w:r>
      <w:r>
        <w:rPr>
          <w:rFonts w:hint="eastAsia" w:asciiTheme="minorEastAsia" w:hAnsiTheme="minorEastAsia" w:eastAsiaTheme="minorEastAsia"/>
          <w:sz w:val="28"/>
          <w:szCs w:val="28"/>
          <w:u w:val="single"/>
        </w:rPr>
        <w:t>采取包工包料方式</w:t>
      </w:r>
    </w:p>
    <w:p w14:paraId="52F37386">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三、开竣工日期</w:t>
      </w:r>
    </w:p>
    <w:p w14:paraId="26DB557A">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开工日期以甲方通知为准，总工期</w:t>
      </w:r>
      <w:r>
        <w:rPr>
          <w:rFonts w:asciiTheme="minorEastAsia" w:hAnsiTheme="minorEastAsia" w:eastAsiaTheme="minorEastAsia"/>
          <w:sz w:val="28"/>
          <w:szCs w:val="28"/>
        </w:rPr>
        <w:t>30天</w:t>
      </w:r>
      <w:r>
        <w:rPr>
          <w:rFonts w:hint="eastAsia" w:asciiTheme="minorEastAsia" w:hAnsiTheme="minorEastAsia" w:eastAsiaTheme="minorEastAsia"/>
          <w:sz w:val="28"/>
          <w:szCs w:val="28"/>
        </w:rPr>
        <w:t>。</w:t>
      </w:r>
    </w:p>
    <w:p w14:paraId="0FDBE313">
      <w:pPr>
        <w:ind w:firstLine="551" w:firstLineChars="196"/>
        <w:rPr>
          <w:rFonts w:ascii="宋体" w:hAnsi="宋体"/>
          <w:b/>
          <w:sz w:val="28"/>
          <w:szCs w:val="28"/>
        </w:rPr>
      </w:pPr>
      <w:r>
        <w:rPr>
          <w:rFonts w:hint="eastAsia" w:ascii="宋体" w:hAnsi="宋体"/>
          <w:b/>
          <w:sz w:val="28"/>
          <w:szCs w:val="28"/>
        </w:rPr>
        <w:t>四、工程监理</w:t>
      </w:r>
    </w:p>
    <w:p w14:paraId="72176563">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本工程实行工程监理，承担监理单位名称：</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，监理单位委派的工程师姓名：</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，职务：</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。受监理单位委派的工程师，全面负责本工程监理工作的实施。</w:t>
      </w:r>
    </w:p>
    <w:p w14:paraId="3551E121">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1.发包人委托监理人的职权：施工至质保阶段项目质量、进度、安全、文明施工、环境保护以及合格项目数量审核签证，协助建设单位对项目投资进行控制。监理人应对承包商的全部项目行为进行监管、检查、控制和协调，具体包括但不限于以下内容：</w:t>
      </w:r>
    </w:p>
    <w:p w14:paraId="12063455">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(1)审查认可承包人的各项施工准备工作，协助委托人下达开工通知书。</w:t>
      </w:r>
    </w:p>
    <w:p w14:paraId="10EB9C91">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(2)对有关的更改设计、施工技术措施等内容的必要性和合理性进行核定，并将审核意见报委托人备案。</w:t>
      </w:r>
    </w:p>
    <w:p w14:paraId="432D9062">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(3)审核承包人提供的材料、构配件和设计的数量和质量。</w:t>
      </w:r>
    </w:p>
    <w:p w14:paraId="38E3925D">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(4)监督施工单位严格按现行规范、规程、标准和设计要求施工，控制项目质量。在关键的施工工序上必须进行旁站监理。</w:t>
      </w:r>
    </w:p>
    <w:p w14:paraId="6A867ECD">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(5)抽查项目施工质量,对隐蔽项目进行复验签证。</w:t>
      </w:r>
    </w:p>
    <w:p w14:paraId="5B554CBA">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(6)对发生的质量缺陷、质量隐患和质量事故下达整改通知书并督促整改。</w:t>
      </w:r>
    </w:p>
    <w:p w14:paraId="367D9FC0">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(7)对承包人安全生产、文明施工进行控制。</w:t>
      </w:r>
    </w:p>
    <w:p w14:paraId="1DA337AF">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(8)签发单位工程或合同工程的暂停令和复工令。</w:t>
      </w:r>
    </w:p>
    <w:p w14:paraId="196845DA">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(9)督促承包人竣工档案的编制进度、质量。</w:t>
      </w:r>
    </w:p>
    <w:p w14:paraId="33C291A3">
      <w:pPr>
        <w:ind w:firstLine="551" w:firstLineChars="196"/>
        <w:rPr>
          <w:rFonts w:ascii="宋体" w:hAnsi="宋体"/>
          <w:b/>
          <w:sz w:val="28"/>
          <w:szCs w:val="28"/>
        </w:rPr>
      </w:pPr>
      <w:r>
        <w:rPr>
          <w:rFonts w:hint="eastAsia" w:ascii="宋体" w:hAnsi="宋体"/>
          <w:b/>
          <w:sz w:val="28"/>
          <w:szCs w:val="28"/>
        </w:rPr>
        <w:t>五、质量标准</w:t>
      </w:r>
    </w:p>
    <w:p w14:paraId="191B8141">
      <w:pPr>
        <w:ind w:firstLine="560" w:firstLineChars="200"/>
        <w:rPr>
          <w:rFonts w:ascii="宋体" w:hAnsi="宋体"/>
          <w:sz w:val="28"/>
          <w:szCs w:val="28"/>
        </w:rPr>
      </w:pPr>
      <w:r>
        <w:rPr>
          <w:rFonts w:hint="eastAsia" w:ascii="宋体" w:hAnsi="宋体"/>
          <w:sz w:val="28"/>
          <w:szCs w:val="28"/>
        </w:rPr>
        <w:t>工程质量标准：</w:t>
      </w:r>
      <w:r>
        <w:rPr>
          <w:rFonts w:hint="eastAsia" w:asciiTheme="minorEastAsia" w:hAnsiTheme="minorEastAsia" w:eastAsiaTheme="minorEastAsia"/>
          <w:sz w:val="28"/>
          <w:szCs w:val="28"/>
        </w:rPr>
        <w:t>符合国家施工验收规范规定的质量标准。因乙方原因造成工程质量未达到前述标准，甲方有权要求乙方返工直至工程质量达到前述标准为止，并由乙方承担由此增加的费用和（或）延误的工期。</w:t>
      </w:r>
    </w:p>
    <w:p w14:paraId="3EA8377D">
      <w:pPr>
        <w:ind w:firstLine="551" w:firstLineChars="196"/>
        <w:rPr>
          <w:rFonts w:asciiTheme="minorEastAsia" w:hAnsiTheme="minorEastAsia" w:eastAsiaTheme="minorEastAsia"/>
          <w:b/>
          <w:sz w:val="28"/>
          <w:szCs w:val="28"/>
        </w:rPr>
      </w:pPr>
      <w:r>
        <w:rPr>
          <w:rFonts w:hint="eastAsia" w:ascii="宋体" w:hAnsi="宋体"/>
          <w:b/>
          <w:sz w:val="28"/>
          <w:szCs w:val="28"/>
        </w:rPr>
        <w:t>六、合同价款</w:t>
      </w:r>
    </w:p>
    <w:p w14:paraId="4A627D58">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合同金额：本合同工程造价暂定为(人民币)</w:t>
      </w:r>
      <w:r>
        <w:rPr>
          <w:sz w:val="28"/>
          <w:szCs w:val="28"/>
        </w:rPr>
        <w:t xml:space="preserve"> ________</w:t>
      </w:r>
      <w:r>
        <w:rPr>
          <w:rFonts w:hint="eastAsia" w:asciiTheme="minorEastAsia" w:hAnsiTheme="minorEastAsia" w:eastAsiaTheme="minorEastAsia"/>
          <w:sz w:val="28"/>
          <w:szCs w:val="28"/>
        </w:rPr>
        <w:t>元，金额大写：_</w:t>
      </w:r>
      <w:r>
        <w:rPr>
          <w:rFonts w:asciiTheme="minorEastAsia" w:hAnsiTheme="minorEastAsia" w:eastAsiaTheme="minorEastAsia"/>
          <w:sz w:val="28"/>
          <w:szCs w:val="28"/>
        </w:rPr>
        <w:t>_______________</w:t>
      </w:r>
      <w:r>
        <w:rPr>
          <w:rFonts w:hint="eastAsia" w:asciiTheme="minorEastAsia" w:hAnsiTheme="minorEastAsia" w:eastAsiaTheme="minorEastAsia"/>
          <w:sz w:val="28"/>
          <w:szCs w:val="28"/>
        </w:rPr>
        <w:t>（具体金额以甲方竣工审价结果为准）。</w:t>
      </w:r>
    </w:p>
    <w:p w14:paraId="61EA8CB1">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七、结算依据</w:t>
      </w:r>
    </w:p>
    <w:p w14:paraId="1AA8AADB">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1、工程预（决）算执行《建设工程工程量清单计价</w:t>
      </w:r>
      <w:r>
        <w:rPr>
          <w:rFonts w:hint="eastAsia" w:asciiTheme="minorEastAsia" w:hAnsiTheme="minorEastAsia" w:eastAsiaTheme="minorEastAsia"/>
          <w:sz w:val="28"/>
          <w:szCs w:val="28"/>
          <w:lang w:val="en-US" w:eastAsia="zh-CN"/>
        </w:rPr>
        <w:t>标准</w:t>
      </w:r>
      <w:r>
        <w:rPr>
          <w:rFonts w:hint="eastAsia" w:asciiTheme="minorEastAsia" w:hAnsiTheme="minorEastAsia" w:eastAsiaTheme="minorEastAsia"/>
          <w:sz w:val="28"/>
          <w:szCs w:val="28"/>
        </w:rPr>
        <w:t>》</w:t>
      </w:r>
      <w:r>
        <w:rPr>
          <w:rFonts w:hint="eastAsia" w:asciiTheme="minorEastAsia" w:hAnsiTheme="minorEastAsia" w:eastAsiaTheme="minorEastAsia"/>
          <w:color w:val="auto"/>
          <w:sz w:val="28"/>
          <w:szCs w:val="28"/>
          <w:lang w:val="en-US" w:eastAsia="zh-CN"/>
        </w:rPr>
        <w:t>(GB/T50500-2024)</w:t>
      </w:r>
      <w:r>
        <w:rPr>
          <w:rFonts w:hint="eastAsia" w:asciiTheme="minorEastAsia" w:hAnsiTheme="minorEastAsia" w:eastAsiaTheme="minorEastAsia"/>
          <w:sz w:val="28"/>
          <w:szCs w:val="28"/>
        </w:rPr>
        <w:t>，消耗量参照《上海市建筑装饰工程预算定额（2016）》、《上海市安装工程预算定额（2016）》、《上海市房屋修缮工程工程预算定额（2016）》、《上海市市政工程预算定额（2016）》等相关规定。</w:t>
      </w:r>
    </w:p>
    <w:p w14:paraId="3554DC1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2、工程量结算由审计处委派的审价机构根据竣工图、竣工示意图、结合现场实际情况，按实计算，以现场测量为准。</w:t>
      </w:r>
    </w:p>
    <w:p w14:paraId="44734D21">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、本合同采用固定单价方式结算，</w:t>
      </w:r>
      <w:r>
        <w:rPr>
          <w:rFonts w:hint="eastAsia" w:asciiTheme="minorEastAsia" w:hAnsiTheme="minorEastAsia" w:eastAsiaTheme="minorEastAsia"/>
          <w:sz w:val="28"/>
          <w:szCs w:val="28"/>
        </w:rPr>
        <w:t>总价措施费、规费按照投标报价的费率计取。</w:t>
      </w:r>
    </w:p>
    <w:p w14:paraId="6369C92C">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4、工程款最终按审定价下浮</w:t>
      </w:r>
      <w:r>
        <w:rPr>
          <w:rFonts w:hint="eastAsia" w:asciiTheme="minorEastAsia" w:hAnsiTheme="minorEastAsia" w:eastAsiaTheme="minorEastAsia"/>
          <w:sz w:val="28"/>
          <w:szCs w:val="28"/>
          <w:lang w:val="en-US" w:eastAsia="zh-CN"/>
        </w:rPr>
        <w:t>5.23</w:t>
      </w:r>
      <w:r>
        <w:rPr>
          <w:rFonts w:hint="eastAsia" w:asciiTheme="minorEastAsia" w:hAnsiTheme="minorEastAsia" w:eastAsiaTheme="minorEastAsia"/>
          <w:sz w:val="28"/>
          <w:szCs w:val="28"/>
        </w:rPr>
        <w:t>%结算。</w:t>
      </w:r>
    </w:p>
    <w:p w14:paraId="785420A4">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八、相关费率标准</w:t>
      </w:r>
    </w:p>
    <w:p w14:paraId="127EC797">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房屋修缮工程综合费率、建筑装饰综合费率、安装工程综合费率、市政工程综合费率、安全文明措施费、人工费、税后总价下浮率等计算标准按照上海立信会计金融学院202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年度零星修缮工程储备库招标相应费率，具体如下：</w:t>
      </w:r>
    </w:p>
    <w:p w14:paraId="24937D32">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a、企业管理费和利润：参照“沪建标定〔2023〕486号”文件计值；</w:t>
      </w:r>
    </w:p>
    <w:p w14:paraId="5F5D3996">
      <w:pPr>
        <w:ind w:left="279" w:leftChars="133"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b、安全文明措施费率：参照“沪建标定〔2023〕486号”文件计值；</w:t>
      </w:r>
    </w:p>
    <w:p w14:paraId="420DC9FA">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c、增值税：参照“沪建标定〔2019〕176号”按9%计取，合同期内如有新的增值税文件按新的增值税文件执行。</w:t>
      </w:r>
    </w:p>
    <w:p w14:paraId="2BA236E2">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如上海市出台相关规定则相应调整。</w:t>
      </w:r>
    </w:p>
    <w:p w14:paraId="276E9527">
      <w:pPr>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九、合同组成部分</w:t>
      </w:r>
    </w:p>
    <w:p w14:paraId="12C054A1">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1、邀请招标比价文件</w:t>
      </w:r>
    </w:p>
    <w:p w14:paraId="703F1480">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2、投标书（其中预算书作为本合同附件）</w:t>
      </w:r>
    </w:p>
    <w:p w14:paraId="33BD1E79">
      <w:pPr>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十、甲方责任及义务</w:t>
      </w:r>
    </w:p>
    <w:p w14:paraId="734EBE7D">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1、开工三日前要为乙方入场施工创造条件,以不影响施工为原则。</w:t>
      </w:r>
    </w:p>
    <w:p w14:paraId="77E9B008">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2、提供施工期间的水源、电源。</w:t>
      </w:r>
    </w:p>
    <w:p w14:paraId="06F1B686">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3、负责办理学校管理部门开工手续，负责协调乙方与学校各职能部门的关系。</w:t>
      </w:r>
    </w:p>
    <w:p w14:paraId="46CFCD24">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4、督促乙方遵守学校管理部门的各项规章制度。</w:t>
      </w:r>
    </w:p>
    <w:p w14:paraId="65382D58">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负责工程质量施工进度的监督,参加工程材料验收\隐蔽工程验收、竣工验收。甲方有权自行或邀请有相关资质和经验的第三方对全部工程内容及其施工工艺、材料和工程设备进行检查和检验。乙方应为检查和检验提供方便，包括到施工现场进行察看和查阅施工原始记录。</w:t>
      </w:r>
    </w:p>
    <w:p w14:paraId="3BEDD5A6">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十一、乙方责任及义务</w:t>
      </w:r>
    </w:p>
    <w:p w14:paraId="0CE7DD54">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1、施工中严格执行施工规范、质量标准、安全操作规程、防火规定、安全、保质、按期完成本合同约定的工程内容。</w:t>
      </w:r>
    </w:p>
    <w:p w14:paraId="23256109">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2、按合同约定的工作内容和进度要求，编制设计、施工的组织和实施计划，保证项目进度计划的实现，并对所有设计、施工作业和施工方法，以及全部工程的完备性和安全可靠性负责。</w:t>
      </w:r>
    </w:p>
    <w:p w14:paraId="6C26020E">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3、按法律规定和合同约定采取安全文明施工、职业健康和环境保护措施，办理员工工伤保险等相关保险，确保工程及人员、材料、设备和设施的安全，防止因工程实施造成的人身伤害和财产损失。</w:t>
      </w:r>
    </w:p>
    <w:p w14:paraId="21215E13">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乙方签订本合同视为乙方已经对现场和工程实施条件进行查勘，并充分了解工程所在地的气象条件、交通条件以及其他与完成工作有关的其他资料，并已充分了解评估施工现场及周围环境对工程可能产生的影响，自愿承担相应风险与责任。</w:t>
      </w:r>
    </w:p>
    <w:p w14:paraId="361EC34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5、保证乙方及乙方相关工作人员遵守并严格执行上海立信会计金融学院修缮工程管理的有关规定。</w:t>
      </w:r>
    </w:p>
    <w:p w14:paraId="2C5DC637">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6、不得扰乱学校正常的教学科研秩序及污染环境。</w:t>
      </w:r>
    </w:p>
    <w:p w14:paraId="65E3EDC1">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7、保证施工现场的整洁，每日完工后清扫施工现场。</w:t>
      </w:r>
    </w:p>
    <w:p w14:paraId="3BF64EEA">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8、验收合格后10天内提交完整结算资料。</w:t>
      </w:r>
    </w:p>
    <w:p w14:paraId="12EC8DF2">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9、未经甲方同意，乙方不得分包或转包。若乙方未经甲方同意即自行分包或转包，甲方有权解除本合同，要求乙方退场并要求乙方承担因乙方擅自分包或转包导致合同被解除而进一步造成的工期延误，每延误一日向甲方支付本合同工程造价金额2%的违约金（自乙方进场之日至退场之日）。</w:t>
      </w:r>
    </w:p>
    <w:p w14:paraId="49D89B9F">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10、乙方及乙方人员在合同履行过程中如出现人身、财产损害或造成第三方损害，应由乙方自行承担责任。</w:t>
      </w:r>
    </w:p>
    <w:p w14:paraId="609F86C9">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十二、材料供应</w:t>
      </w:r>
    </w:p>
    <w:p w14:paraId="5807462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1、乙方对施工过程中使用的全部材料负责，须提供合格证、质保书等资料随时接受甲方检查。乙方在材料、设备到施工现场前通知甲方。双方就材料、设备质量、环保标准共同验收，由甲方确认备案。</w:t>
      </w:r>
    </w:p>
    <w:p w14:paraId="6C6B2B66">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因乙方提供的材料和工程设备不符合国家强制性标准、规范的规定或合同约定的标准、规范，所造成的质量缺陷，由乙方自费修复。在履行合同过程中，由于国家新颁布的强制性标准、规范，造成乙方负责提供的材料和工程设备，虽符合合同约定的标准，但不符合新颁布的强制性标准时，由乙方负责修复或重新订货，相关费用支出及导致的工期延长由乙方负责。</w:t>
      </w:r>
    </w:p>
    <w:p w14:paraId="0FB39841">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3、施工期间，乙方提供的材料和工程设备由乙方妥善保管，保管费用由乙方承担。</w:t>
      </w:r>
    </w:p>
    <w:p w14:paraId="6EABC359">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十三、工期延误</w:t>
      </w:r>
    </w:p>
    <w:p w14:paraId="668D9F47">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因乙方责任不能按期完工的，工期不顺延；因乙方原因造成工程质量存在问题的返工费用由乙方承担，工期不顺延。</w:t>
      </w:r>
    </w:p>
    <w:p w14:paraId="43BB0692">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对以下原因造成竣工的日期延误，经甲方确认，工期应当顺延：不可抗力；甲方未按合同约定完成其应当负责的工作而影响工期的。</w:t>
      </w:r>
    </w:p>
    <w:p w14:paraId="36A15EBD">
      <w:pPr>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十四、工程开工、竣工及保修期</w:t>
      </w:r>
    </w:p>
    <w:p w14:paraId="6944528B">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1、开工：甲乙双方通过确定方案、合同签订、工程技术交底等前期工作完成后，材料、施工人员到达施工现场开始运作视为开工。</w:t>
      </w:r>
    </w:p>
    <w:p w14:paraId="1AF305A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2、竣工验收前，乙方负责保护工程成品和工程现场的全部安全。</w:t>
      </w:r>
    </w:p>
    <w:p w14:paraId="394EA051">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工程完工后，乙方应通知甲方验收，甲方自接到竣工验收通知单后七日内组织验收。验收参与方共同签字盖章视为验收合格，双方办理移交手续。验收不合格的，甲方有权要求乙方对不合格工程返工、修复或采取其他补救措施，由此增加的费用和（或）延误的工期由乙方承担。乙方在完成不合格工程的返工、修复或采取其他补救措施后，应重新提交竣工验收通知单，重新进行验收。</w:t>
      </w:r>
    </w:p>
    <w:p w14:paraId="5DAB191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由于乙方的原因，未能按项目进度计划完成工作，乙方应采取措施加快进度，并承担加快进度所增加的费用。同时，乙方应当依照本合同第十六条第四款承担逾期竣工违约金，乙方支付逾期竣工违约金，不免除乙方完成工作及修补缺陷的义务，且甲方有权从竣工结算款或约定提交的履约担保中扣除相当于逾期竣工违约金的金额。</w:t>
      </w:r>
    </w:p>
    <w:p w14:paraId="10CC3313">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5、若验收合格，乙方竣工退场。乙方应对施工现场进行清理，并撤离相关人员，使得施工现场处于以下状态，直至甲方检验合格：</w:t>
      </w:r>
    </w:p>
    <w:p w14:paraId="70F60A68">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（1）施工现场内残留的垃圾已全部清除出场，场地已进行清理、平整或复原；</w:t>
      </w:r>
    </w:p>
    <w:p w14:paraId="263D70B6">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（2）按合同约定应撤离的人员、乙方提供的施工设备和剩余的材料，包括废弃的施工设备和材料，已按计划撤离施工现场；</w:t>
      </w:r>
    </w:p>
    <w:p w14:paraId="6BE48B3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（3）施工现场其他竣工退场工作已全部完成。</w:t>
      </w:r>
    </w:p>
    <w:p w14:paraId="737A2E5A">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施工现场的竣工退场费用由乙方承担。乙方应在合同约定的期限内完成竣工退场，逾期未完成的，甲方有权出售或另行处理乙方遗留的物品，由此支出的费用由乙方承担，甲方出售乙方遗留物品所得款项在扣除必要费用后应返还乙方。</w:t>
      </w:r>
    </w:p>
    <w:p w14:paraId="445095CF">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6、一般工程保修期为两年（防水工程或含防水分项的一般工程保修期为五年），自本工程验收合格双方签字之日起计。</w:t>
      </w:r>
    </w:p>
    <w:p w14:paraId="74E85076">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7、在工程移交甲方后，因乙方原因产生的质量缺陷，乙方应承担质量缺陷责任和保修义务。</w:t>
      </w:r>
    </w:p>
    <w:p w14:paraId="7B6A5AED">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在保修期内，甲方在使用过程中，发现已接收的工程存在缺陷或损坏的，应通知乙方予以修复，乙方应在24小时内完成修复工作；经甲方催告后乙方仍未修复的，甲方有权自行修复或委托第三方修复，所需费用由乙方承担。</w:t>
      </w:r>
    </w:p>
    <w:p w14:paraId="3A73C511">
      <w:pPr>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十五、工程款支付方式</w:t>
      </w:r>
    </w:p>
    <w:p w14:paraId="50333BB1">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1、工程竣工验收合格，临时设施场地全部清场，且使用单位签署竣工验收单，竣工结算审价结束并提交完整的竣工档案资料，乙方先行支付工程结算价的3%作为工程质保金。甲方收到工程质保金后1</w:t>
      </w:r>
      <w:r>
        <w:rPr>
          <w:rFonts w:asciiTheme="minorEastAsia" w:hAnsiTheme="minorEastAsia" w:eastAsiaTheme="minorEastAsia"/>
          <w:sz w:val="28"/>
          <w:szCs w:val="28"/>
        </w:rPr>
        <w:t>0</w:t>
      </w:r>
      <w:r>
        <w:rPr>
          <w:rFonts w:hint="eastAsia" w:asciiTheme="minorEastAsia" w:hAnsiTheme="minorEastAsia" w:eastAsiaTheme="minorEastAsia"/>
          <w:sz w:val="28"/>
          <w:szCs w:val="28"/>
        </w:rPr>
        <w:t>个工作日内，付至工程结算价的100%。</w:t>
      </w:r>
    </w:p>
    <w:p w14:paraId="2D804C5A">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2、保修期满后，甲方一次性无息返还全额工程质保金给乙方。</w:t>
      </w:r>
    </w:p>
    <w:p w14:paraId="579F82FE">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3、双方收付款账号信息如下：</w:t>
      </w:r>
    </w:p>
    <w:p w14:paraId="4D35CC46">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（1）甲方单位名称：上海立信会计金融学院</w:t>
      </w:r>
    </w:p>
    <w:p w14:paraId="574731A6">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地址：上海市浦东新区上川路9</w:t>
      </w:r>
      <w:r>
        <w:rPr>
          <w:rFonts w:asciiTheme="minorEastAsia" w:hAnsiTheme="minorEastAsia" w:eastAsiaTheme="minorEastAsia"/>
          <w:sz w:val="28"/>
          <w:szCs w:val="28"/>
        </w:rPr>
        <w:t>95</w:t>
      </w:r>
      <w:r>
        <w:rPr>
          <w:rFonts w:hint="eastAsia" w:asciiTheme="minorEastAsia" w:hAnsiTheme="minorEastAsia" w:eastAsiaTheme="minorEastAsia"/>
          <w:sz w:val="28"/>
          <w:szCs w:val="28"/>
        </w:rPr>
        <w:t>号</w:t>
      </w:r>
    </w:p>
    <w:p w14:paraId="5C56947B">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税号（社会信用统一代码）：1</w:t>
      </w:r>
      <w:r>
        <w:rPr>
          <w:rFonts w:asciiTheme="minorEastAsia" w:hAnsiTheme="minorEastAsia" w:eastAsiaTheme="minorEastAsia"/>
          <w:sz w:val="28"/>
          <w:szCs w:val="28"/>
        </w:rPr>
        <w:t>2310000MB2F01828Q</w:t>
      </w:r>
    </w:p>
    <w:p w14:paraId="76B7D7CA">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开户行：中国农业行上海市浦东大道支行</w:t>
      </w:r>
    </w:p>
    <w:p w14:paraId="6D5045AA">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账号：0</w:t>
      </w:r>
      <w:r>
        <w:rPr>
          <w:rFonts w:asciiTheme="minorEastAsia" w:hAnsiTheme="minorEastAsia" w:eastAsiaTheme="minorEastAsia"/>
          <w:sz w:val="28"/>
          <w:szCs w:val="28"/>
        </w:rPr>
        <w:t>3322500040006068</w:t>
      </w:r>
    </w:p>
    <w:p w14:paraId="2A58A931">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银行联行号：1</w:t>
      </w:r>
      <w:r>
        <w:rPr>
          <w:rFonts w:asciiTheme="minorEastAsia" w:hAnsiTheme="minorEastAsia" w:eastAsiaTheme="minorEastAsia"/>
          <w:sz w:val="28"/>
          <w:szCs w:val="28"/>
        </w:rPr>
        <w:t>03290076039</w:t>
      </w:r>
    </w:p>
    <w:p w14:paraId="0E7A7E3A">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（2）乙方单位名称： </w:t>
      </w:r>
    </w:p>
    <w:p w14:paraId="09C86B18">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地址：</w:t>
      </w:r>
    </w:p>
    <w:p w14:paraId="1D9E928C">
      <w:pPr>
        <w:ind w:firstLine="840" w:firstLineChars="300"/>
        <w:rPr>
          <w:rFonts w:asciiTheme="minorEastAsia" w:hAnsiTheme="minorEastAsia" w:eastAsiaTheme="minorEastAsia"/>
          <w:sz w:val="28"/>
          <w:szCs w:val="28"/>
        </w:rPr>
      </w:pPr>
      <w:r>
        <w:rPr>
          <w:rFonts w:asciiTheme="minorEastAsia" w:hAnsiTheme="minorEastAsia" w:eastAsiaTheme="minorEastAsia"/>
          <w:sz w:val="28"/>
          <w:szCs w:val="28"/>
        </w:rPr>
        <w:t xml:space="preserve">开户行： </w:t>
      </w:r>
    </w:p>
    <w:p w14:paraId="1941EACB">
      <w:pPr>
        <w:ind w:firstLine="840" w:firstLineChars="300"/>
        <w:rPr>
          <w:rFonts w:asciiTheme="minorEastAsia" w:hAnsiTheme="minorEastAsia" w:eastAsiaTheme="minorEastAsia"/>
          <w:sz w:val="28"/>
          <w:szCs w:val="28"/>
        </w:rPr>
      </w:pPr>
      <w:r>
        <w:rPr>
          <w:rFonts w:asciiTheme="minorEastAsia" w:hAnsiTheme="minorEastAsia" w:eastAsiaTheme="minorEastAsia"/>
          <w:sz w:val="28"/>
          <w:szCs w:val="28"/>
        </w:rPr>
        <w:t>账号：</w:t>
      </w:r>
    </w:p>
    <w:p w14:paraId="180292BC">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税号（社会信用统一代码）</w:t>
      </w:r>
      <w:r>
        <w:rPr>
          <w:rFonts w:asciiTheme="minorEastAsia" w:hAnsiTheme="minorEastAsia" w:eastAsiaTheme="minorEastAsia"/>
          <w:sz w:val="28"/>
          <w:szCs w:val="28"/>
        </w:rPr>
        <w:t>：</w:t>
      </w:r>
    </w:p>
    <w:p w14:paraId="164B4683">
      <w:pPr>
        <w:ind w:firstLine="840" w:firstLineChars="300"/>
        <w:rPr>
          <w:rFonts w:asciiTheme="minorEastAsia" w:hAnsiTheme="minorEastAsia" w:eastAsiaTheme="minorEastAsia"/>
          <w:sz w:val="28"/>
          <w:szCs w:val="28"/>
        </w:rPr>
      </w:pPr>
      <w:r>
        <w:rPr>
          <w:rFonts w:asciiTheme="minorEastAsia" w:hAnsiTheme="minorEastAsia" w:eastAsiaTheme="minorEastAsia"/>
          <w:sz w:val="28"/>
          <w:szCs w:val="28"/>
        </w:rPr>
        <w:t>银行联行号：</w:t>
      </w:r>
    </w:p>
    <w:p w14:paraId="02EFAD1D">
      <w:pPr>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十六、违约责任</w:t>
      </w:r>
    </w:p>
    <w:p w14:paraId="4BA2C4D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1、一方当事人未按约定履行合同义务给对方造成损失的，应当承担赔偿责任；因违反有关法律规定受到处罚的，最终责任由责任方承担。</w:t>
      </w:r>
    </w:p>
    <w:p w14:paraId="5BCFFC8D">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2、一方当事人无法继续履行合同的，应当及时通知另一方，并由责任方承担因合同解除而造成的损失。</w:t>
      </w:r>
    </w:p>
    <w:p w14:paraId="7E1D7866">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3、出现下列情形，属于乙方违约：</w:t>
      </w:r>
    </w:p>
    <w:p w14:paraId="240613B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（1）因乙方原因导致的乙方文件、实施和竣工的工程不符合法律法规、工程质量验收标准以及合同约定；</w:t>
      </w:r>
    </w:p>
    <w:p w14:paraId="193108EF">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（2）乙方违反合同约定进行转包或违法分包的；</w:t>
      </w:r>
    </w:p>
    <w:p w14:paraId="22FE524E">
      <w:pPr>
        <w:ind w:firstLine="560" w:firstLineChars="200"/>
        <w:rPr>
          <w:rFonts w:asciiTheme="minorEastAsia" w:hAnsiTheme="minorEastAsia" w:eastAsiaTheme="minorEastAsia"/>
          <w:sz w:val="28"/>
          <w:szCs w:val="28"/>
        </w:rPr>
      </w:pPr>
      <w:bookmarkStart w:id="0" w:name="_GoBack"/>
      <w:r>
        <w:rPr>
          <w:rFonts w:hint="eastAsia" w:asciiTheme="minorEastAsia" w:hAnsiTheme="minorEastAsia" w:eastAsiaTheme="minorEastAsia"/>
          <w:sz w:val="28"/>
          <w:szCs w:val="28"/>
        </w:rPr>
        <w:t>（3）乙方违反约定采购和使用不合格材料或工程设备；</w:t>
      </w:r>
    </w:p>
    <w:bookmarkEnd w:id="0"/>
    <w:p w14:paraId="69FD4977">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（4）因乙方原因导致工程质量不符合合同要求的；</w:t>
      </w:r>
    </w:p>
    <w:p w14:paraId="4BB6DB6C">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（5）乙方未能按项目进度计划及时完成合同约定的工作，造成工期延误；</w:t>
      </w:r>
    </w:p>
    <w:p w14:paraId="4269B1D0">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（6）由于乙方原因未能通过竣工验收的；</w:t>
      </w:r>
    </w:p>
    <w:p w14:paraId="3D2956BE">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（7）乙方在保修期内，未能在合理期限进行修复，或拒绝按甲方指示进行修复的；</w:t>
      </w:r>
    </w:p>
    <w:p w14:paraId="2EF51845">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（8）乙方明确表示或者以其行为表明不履行合同主要义务的。</w:t>
      </w:r>
    </w:p>
    <w:p w14:paraId="5FC03199">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乙方发生上述违约情况时，甲方可向乙方发出通知，要求乙方采取有效措施纠正违约行为。乙方应承担因其违约行为而增加的费用和（或）延误的工期，并按合同价款的10%向甲方支付违约金。违约金不足以赔偿甲方损失的，乙方应赔偿甲方全部损失。</w:t>
      </w:r>
    </w:p>
    <w:p w14:paraId="08305EB3">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4、由于乙方责任延误工期的，每延误一日，乙方支付给甲方本合同工程造价金额2%的违约金。</w:t>
      </w:r>
    </w:p>
    <w:p w14:paraId="4AECCD47">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5、由于乙方责任导致工程质量不合格，乙方必须进行彻底返工修理。因返工造成工程的延期交付视同工程延误，按本条第四款的标准支付违约金。</w:t>
      </w:r>
    </w:p>
    <w:p w14:paraId="5DE61E08">
      <w:pPr>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十七、争议解决方式</w:t>
      </w:r>
    </w:p>
    <w:p w14:paraId="3256FFFD">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本合同项下发生的争议，双方应当协商或向第三方申请调解解决，协商或调解解决不成时，向</w:t>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softHyphen/>
      </w:r>
      <w:r>
        <w:rPr>
          <w:rFonts w:hint="eastAsia" w:asciiTheme="minorEastAsia" w:hAnsiTheme="minorEastAsia" w:eastAsiaTheme="minorEastAsia"/>
          <w:sz w:val="28"/>
          <w:szCs w:val="28"/>
        </w:rPr>
        <w:t>上海市浦东新区人民法院起诉。</w:t>
      </w:r>
    </w:p>
    <w:p w14:paraId="75C8950C">
      <w:pPr>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十八</w:t>
      </w:r>
      <w:r>
        <w:rPr>
          <w:rFonts w:hint="eastAsia" w:asciiTheme="minorEastAsia" w:hAnsiTheme="minorEastAsia" w:eastAsiaTheme="minorEastAsia"/>
          <w:sz w:val="28"/>
          <w:szCs w:val="28"/>
        </w:rPr>
        <w:t>、本合同一式陆份，甲方执肆份，乙方执贰份，经甲乙双方签字(盖章)后生效。</w:t>
      </w:r>
    </w:p>
    <w:p w14:paraId="40988EB1">
      <w:pPr>
        <w:spacing w:line="480" w:lineRule="exact"/>
        <w:rPr>
          <w:rFonts w:asciiTheme="minorEastAsia" w:hAnsiTheme="minorEastAsia" w:eastAsiaTheme="minorEastAsia"/>
          <w:sz w:val="28"/>
          <w:szCs w:val="28"/>
        </w:rPr>
      </w:pPr>
    </w:p>
    <w:p w14:paraId="6546D72C">
      <w:pPr>
        <w:spacing w:line="480" w:lineRule="exact"/>
        <w:rPr>
          <w:rFonts w:asciiTheme="minorEastAsia" w:hAnsiTheme="minorEastAsia" w:eastAsiaTheme="minorEastAsia"/>
          <w:sz w:val="28"/>
          <w:szCs w:val="28"/>
        </w:rPr>
      </w:pPr>
    </w:p>
    <w:p w14:paraId="482CC4D7">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甲方(盖章)：上海立信会计金融学院               </w:t>
      </w:r>
    </w:p>
    <w:p w14:paraId="64EA37BB">
      <w:pPr>
        <w:spacing w:line="480" w:lineRule="exact"/>
        <w:rPr>
          <w:rFonts w:asciiTheme="minorEastAsia" w:hAnsiTheme="minorEastAsia" w:eastAsiaTheme="minorEastAsia"/>
          <w:sz w:val="28"/>
          <w:szCs w:val="28"/>
        </w:rPr>
      </w:pPr>
    </w:p>
    <w:p w14:paraId="41980A7A">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法定代表人或授权代表人：</w:t>
      </w:r>
    </w:p>
    <w:p w14:paraId="09C277D8">
      <w:pPr>
        <w:spacing w:line="480" w:lineRule="exact"/>
        <w:rPr>
          <w:rFonts w:asciiTheme="minorEastAsia" w:hAnsiTheme="minorEastAsia" w:eastAsiaTheme="minorEastAsia"/>
          <w:sz w:val="28"/>
          <w:szCs w:val="28"/>
        </w:rPr>
      </w:pPr>
    </w:p>
    <w:p w14:paraId="2FD2CF62">
      <w:pPr>
        <w:spacing w:line="480" w:lineRule="exact"/>
        <w:rPr>
          <w:rFonts w:asciiTheme="minorEastAsia" w:hAnsiTheme="minorEastAsia" w:eastAsiaTheme="minorEastAsia"/>
          <w:sz w:val="28"/>
          <w:szCs w:val="28"/>
        </w:rPr>
      </w:pPr>
    </w:p>
    <w:p w14:paraId="756B9261">
      <w:pPr>
        <w:spacing w:line="480" w:lineRule="exact"/>
        <w:ind w:left="6440" w:hanging="6440" w:hangingChars="23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乙方（盖章）： </w:t>
      </w:r>
    </w:p>
    <w:p w14:paraId="4D42E167">
      <w:pPr>
        <w:spacing w:line="480" w:lineRule="exact"/>
        <w:ind w:left="6440" w:hanging="6440" w:hangingChars="2300"/>
        <w:rPr>
          <w:rFonts w:asciiTheme="minorEastAsia" w:hAnsiTheme="minorEastAsia" w:eastAsiaTheme="minorEastAsia"/>
          <w:sz w:val="28"/>
          <w:szCs w:val="28"/>
        </w:rPr>
      </w:pPr>
    </w:p>
    <w:p w14:paraId="45803065">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法定代表人或授权代表人：</w:t>
      </w:r>
    </w:p>
    <w:p w14:paraId="31C92026">
      <w:pPr>
        <w:spacing w:line="480" w:lineRule="exact"/>
        <w:rPr>
          <w:rFonts w:asciiTheme="minorEastAsia" w:hAnsiTheme="minorEastAsia" w:eastAsiaTheme="minorEastAsia"/>
          <w:sz w:val="28"/>
          <w:szCs w:val="28"/>
        </w:rPr>
      </w:pPr>
    </w:p>
    <w:p w14:paraId="3639040D">
      <w:pPr>
        <w:spacing w:line="480" w:lineRule="exact"/>
        <w:jc w:val="left"/>
        <w:rPr>
          <w:rFonts w:asciiTheme="minorEastAsia" w:hAnsiTheme="minorEastAsia" w:eastAsiaTheme="minorEastAsia"/>
          <w:sz w:val="28"/>
          <w:szCs w:val="28"/>
        </w:rPr>
      </w:pPr>
      <w:r>
        <w:rPr>
          <w:rFonts w:hint="eastAsia" w:asciiTheme="minorEastAsia" w:hAnsiTheme="minorEastAsia" w:eastAsiaTheme="minorEastAsia"/>
          <w:sz w:val="28"/>
          <w:szCs w:val="28"/>
        </w:rPr>
        <w:t>签订日期：__________年______月______日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8151665"/>
    </w:sdtPr>
    <w:sdtContent>
      <w:sdt>
        <w:sdtPr>
          <w:id w:val="1728636285"/>
        </w:sdtPr>
        <w:sdtContent>
          <w:p w14:paraId="2A1BD03E">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p w14:paraId="3B1409F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lvlText w:val="第%1部分"/>
      <w:legacy w:legacy="1" w:legacySpace="0" w:legacyIndent="0"/>
      <w:lvlJc w:val="left"/>
    </w:lvl>
    <w:lvl w:ilvl="1" w:tentative="0">
      <w:start w:val="1"/>
      <w:numFmt w:val="none"/>
      <w:pStyle w:val="2"/>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yYTlhY2MwNWU1MDkxZWE2MDk5NjA3YTMyODQyZjMifQ=="/>
  </w:docVars>
  <w:rsids>
    <w:rsidRoot w:val="00DA4845"/>
    <w:rsid w:val="000140EA"/>
    <w:rsid w:val="00015D2E"/>
    <w:rsid w:val="00031B60"/>
    <w:rsid w:val="000721DC"/>
    <w:rsid w:val="00073597"/>
    <w:rsid w:val="000F1B8E"/>
    <w:rsid w:val="00112577"/>
    <w:rsid w:val="001150DA"/>
    <w:rsid w:val="00141893"/>
    <w:rsid w:val="001604E6"/>
    <w:rsid w:val="001752D9"/>
    <w:rsid w:val="00181C5F"/>
    <w:rsid w:val="001A09A4"/>
    <w:rsid w:val="001A56BF"/>
    <w:rsid w:val="001B1AD5"/>
    <w:rsid w:val="001E4452"/>
    <w:rsid w:val="00200427"/>
    <w:rsid w:val="00212CB9"/>
    <w:rsid w:val="00222532"/>
    <w:rsid w:val="00224B7D"/>
    <w:rsid w:val="00274A52"/>
    <w:rsid w:val="00294AD1"/>
    <w:rsid w:val="002A42AE"/>
    <w:rsid w:val="002D641E"/>
    <w:rsid w:val="002F38A7"/>
    <w:rsid w:val="002F687B"/>
    <w:rsid w:val="0030203F"/>
    <w:rsid w:val="00321237"/>
    <w:rsid w:val="003218BB"/>
    <w:rsid w:val="00322A53"/>
    <w:rsid w:val="00370A8D"/>
    <w:rsid w:val="00384482"/>
    <w:rsid w:val="00405B37"/>
    <w:rsid w:val="00442890"/>
    <w:rsid w:val="0046769A"/>
    <w:rsid w:val="00475BF8"/>
    <w:rsid w:val="0049050E"/>
    <w:rsid w:val="004B3B82"/>
    <w:rsid w:val="004B44B3"/>
    <w:rsid w:val="004C2DB9"/>
    <w:rsid w:val="004E5AC1"/>
    <w:rsid w:val="005A2254"/>
    <w:rsid w:val="005D60A6"/>
    <w:rsid w:val="005E75DC"/>
    <w:rsid w:val="00610561"/>
    <w:rsid w:val="006B2A30"/>
    <w:rsid w:val="006D72FA"/>
    <w:rsid w:val="00712C51"/>
    <w:rsid w:val="0071629A"/>
    <w:rsid w:val="007168ED"/>
    <w:rsid w:val="007607A5"/>
    <w:rsid w:val="00782072"/>
    <w:rsid w:val="007A0409"/>
    <w:rsid w:val="007A5FD6"/>
    <w:rsid w:val="007C3506"/>
    <w:rsid w:val="007E1DEE"/>
    <w:rsid w:val="00811588"/>
    <w:rsid w:val="00871801"/>
    <w:rsid w:val="008802BA"/>
    <w:rsid w:val="008A54FC"/>
    <w:rsid w:val="00900732"/>
    <w:rsid w:val="00912363"/>
    <w:rsid w:val="0094587F"/>
    <w:rsid w:val="009525AE"/>
    <w:rsid w:val="009A089B"/>
    <w:rsid w:val="009A1316"/>
    <w:rsid w:val="009B235B"/>
    <w:rsid w:val="009D7DE6"/>
    <w:rsid w:val="009E0C0E"/>
    <w:rsid w:val="009E6CBD"/>
    <w:rsid w:val="00A216CF"/>
    <w:rsid w:val="00A469B8"/>
    <w:rsid w:val="00A91ABA"/>
    <w:rsid w:val="00AB2A6E"/>
    <w:rsid w:val="00AD3237"/>
    <w:rsid w:val="00AF4B06"/>
    <w:rsid w:val="00B0105F"/>
    <w:rsid w:val="00B27ADE"/>
    <w:rsid w:val="00B32ED8"/>
    <w:rsid w:val="00B37571"/>
    <w:rsid w:val="00B946BE"/>
    <w:rsid w:val="00BE54A0"/>
    <w:rsid w:val="00BF2678"/>
    <w:rsid w:val="00BF766A"/>
    <w:rsid w:val="00C54A48"/>
    <w:rsid w:val="00C71300"/>
    <w:rsid w:val="00C74E43"/>
    <w:rsid w:val="00C76726"/>
    <w:rsid w:val="00CF7CEB"/>
    <w:rsid w:val="00D07941"/>
    <w:rsid w:val="00DA0CE4"/>
    <w:rsid w:val="00DA184E"/>
    <w:rsid w:val="00DA4845"/>
    <w:rsid w:val="00DE129A"/>
    <w:rsid w:val="00DF35AB"/>
    <w:rsid w:val="00DF5B64"/>
    <w:rsid w:val="00DF6079"/>
    <w:rsid w:val="00E16254"/>
    <w:rsid w:val="00E22BE0"/>
    <w:rsid w:val="00E304A2"/>
    <w:rsid w:val="00E333C9"/>
    <w:rsid w:val="00E50267"/>
    <w:rsid w:val="00EC2690"/>
    <w:rsid w:val="00F177D3"/>
    <w:rsid w:val="00F336BB"/>
    <w:rsid w:val="00F34E3B"/>
    <w:rsid w:val="00F701D1"/>
    <w:rsid w:val="00FB711E"/>
    <w:rsid w:val="00FC0546"/>
    <w:rsid w:val="00FC107A"/>
    <w:rsid w:val="029869BC"/>
    <w:rsid w:val="05197FEF"/>
    <w:rsid w:val="06435826"/>
    <w:rsid w:val="08172A4E"/>
    <w:rsid w:val="08B21DF2"/>
    <w:rsid w:val="09821039"/>
    <w:rsid w:val="0BE5194A"/>
    <w:rsid w:val="0E067982"/>
    <w:rsid w:val="0FE51F22"/>
    <w:rsid w:val="111E365D"/>
    <w:rsid w:val="130E5103"/>
    <w:rsid w:val="13EA5875"/>
    <w:rsid w:val="14D102FB"/>
    <w:rsid w:val="16A10110"/>
    <w:rsid w:val="18C23AE7"/>
    <w:rsid w:val="19DB1246"/>
    <w:rsid w:val="1A4647B0"/>
    <w:rsid w:val="1EBC7659"/>
    <w:rsid w:val="1FE63E7F"/>
    <w:rsid w:val="201F575C"/>
    <w:rsid w:val="2032640E"/>
    <w:rsid w:val="20377EBD"/>
    <w:rsid w:val="213C5656"/>
    <w:rsid w:val="21A25EC1"/>
    <w:rsid w:val="21DB547D"/>
    <w:rsid w:val="23501D2E"/>
    <w:rsid w:val="26D46713"/>
    <w:rsid w:val="275A520B"/>
    <w:rsid w:val="2B0C2F26"/>
    <w:rsid w:val="2C065E8C"/>
    <w:rsid w:val="2FDC6972"/>
    <w:rsid w:val="308E409F"/>
    <w:rsid w:val="30F87C4F"/>
    <w:rsid w:val="33461947"/>
    <w:rsid w:val="33E939ED"/>
    <w:rsid w:val="34D323D2"/>
    <w:rsid w:val="3A944BB1"/>
    <w:rsid w:val="3B407DF8"/>
    <w:rsid w:val="3C94352C"/>
    <w:rsid w:val="3DBF0712"/>
    <w:rsid w:val="3F654EAC"/>
    <w:rsid w:val="413E130B"/>
    <w:rsid w:val="41807724"/>
    <w:rsid w:val="43E90E47"/>
    <w:rsid w:val="48F57E79"/>
    <w:rsid w:val="48F95687"/>
    <w:rsid w:val="4BDE78A3"/>
    <w:rsid w:val="50224FD2"/>
    <w:rsid w:val="512D29FE"/>
    <w:rsid w:val="54A1356C"/>
    <w:rsid w:val="59160F57"/>
    <w:rsid w:val="599B2830"/>
    <w:rsid w:val="5B1722CB"/>
    <w:rsid w:val="5D8718B0"/>
    <w:rsid w:val="5F2672B2"/>
    <w:rsid w:val="60711908"/>
    <w:rsid w:val="614670DE"/>
    <w:rsid w:val="633A4319"/>
    <w:rsid w:val="64AE7157"/>
    <w:rsid w:val="66931EDF"/>
    <w:rsid w:val="680822C2"/>
    <w:rsid w:val="686F696D"/>
    <w:rsid w:val="6DB43A40"/>
    <w:rsid w:val="6F6F6939"/>
    <w:rsid w:val="70A267A9"/>
    <w:rsid w:val="7225296E"/>
    <w:rsid w:val="72436D99"/>
    <w:rsid w:val="73F86E11"/>
    <w:rsid w:val="77D34A9E"/>
    <w:rsid w:val="78744973"/>
    <w:rsid w:val="7B4D08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9"/>
    <w:pPr>
      <w:keepNext/>
      <w:keepLines/>
      <w:numPr>
        <w:ilvl w:val="1"/>
        <w:numId w:val="1"/>
      </w:numPr>
      <w:adjustRightInd w:val="0"/>
      <w:spacing w:before="260" w:after="260" w:line="416" w:lineRule="atLeast"/>
      <w:textAlignment w:val="baseline"/>
      <w:outlineLvl w:val="1"/>
    </w:pPr>
    <w:rPr>
      <w:rFonts w:ascii="Arial" w:hAnsi="Arial" w:eastAsia="黑体"/>
      <w:b/>
      <w:kern w:val="0"/>
      <w:sz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szCs w:val="21"/>
    </w:r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semiHidden/>
    <w:qFormat/>
    <w:uiPriority w:val="99"/>
    <w:rPr>
      <w:rFonts w:ascii="Times New Roman" w:hAnsi="Times New Roman" w:eastAsia="宋体" w:cs="Times New Roman"/>
      <w:sz w:val="18"/>
      <w:szCs w:val="18"/>
    </w:rPr>
  </w:style>
  <w:style w:type="character" w:customStyle="1" w:styleId="10">
    <w:name w:val="页脚 字符"/>
    <w:basedOn w:val="8"/>
    <w:link w:val="5"/>
    <w:qFormat/>
    <w:uiPriority w:val="99"/>
    <w:rPr>
      <w:rFonts w:ascii="Times New Roman" w:hAnsi="Times New Roman" w:eastAsia="宋体" w:cs="Times New Roman"/>
      <w:sz w:val="18"/>
      <w:szCs w:val="18"/>
    </w:rPr>
  </w:style>
  <w:style w:type="character" w:customStyle="1" w:styleId="11">
    <w:name w:val="批注框文本 字符"/>
    <w:basedOn w:val="8"/>
    <w:link w:val="4"/>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4599</Words>
  <Characters>4818</Characters>
  <Lines>36</Lines>
  <Paragraphs>10</Paragraphs>
  <TotalTime>17</TotalTime>
  <ScaleCrop>false</ScaleCrop>
  <LinksUpToDate>false</LinksUpToDate>
  <CharactersWithSpaces>4911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2025-04-23T02:51:00Z</dcterms:created>
  <dc:creator>xielaoshi</dc:creator>
  <cp:lastModifiedBy>deer</cp:lastModifiedBy>
  <dcterms:modified xsi:type="dcterms:W3CDTF">2026-06-24T07:25:40Z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BE4E58721D484607BB9DEF9D29A72E68_13</vt:lpwstr>
  </property>
  <property fmtid="{D5CDD505-2E9C-101B-9397-08002B2CF9AE}" pid="4" name="KSOTemplateDocerSaveRecord">
    <vt:lpwstr>eyJoZGlkIjoiMGI0NDRlZDNjNDVmOTdhM2NlMWUxN2ViM2ZkOTBkNTEiLCJ1c2VySWQiOiIzMTMzNDQxOTkifQ==</vt:lpwstr>
  </property>
</Properties>
</file>